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520EB" w:rsidRPr="001F3166" w:rsidRDefault="00E520EB" w:rsidP="00E520EB">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 xml:space="preserve">3GPP TSG RAN WG1 </w:t>
      </w:r>
      <w:r>
        <w:rPr>
          <w:rFonts w:cs="Arial"/>
          <w:bCs/>
          <w:noProof w:val="0"/>
          <w:sz w:val="24"/>
          <w:szCs w:val="24"/>
          <w:lang w:val="de-DE"/>
        </w:rPr>
        <w:t>#96bis</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sidR="00402056">
        <w:rPr>
          <w:rFonts w:eastAsia="Malgun Gothic"/>
          <w:noProof w:val="0"/>
          <w:sz w:val="24"/>
          <w:szCs w:val="24"/>
          <w:lang w:val="de-DE" w:eastAsia="ko-KR"/>
        </w:rPr>
        <w:t>904401</w:t>
      </w:r>
      <w:bookmarkStart w:id="3" w:name="_GoBack"/>
      <w:bookmarkEnd w:id="3"/>
    </w:p>
    <w:bookmarkEnd w:id="0"/>
    <w:bookmarkEnd w:id="1"/>
    <w:p w:rsidR="002E7C85" w:rsidRPr="0090404B" w:rsidRDefault="00E520EB" w:rsidP="00E520EB">
      <w:pPr>
        <w:pStyle w:val="Header"/>
        <w:spacing w:after="240"/>
        <w:rPr>
          <w:noProof w:val="0"/>
          <w:sz w:val="24"/>
          <w:szCs w:val="24"/>
          <w:lang w:val="en-US"/>
        </w:rPr>
      </w:pPr>
      <w:r>
        <w:rPr>
          <w:rFonts w:cs="Arial"/>
          <w:bCs/>
          <w:sz w:val="24"/>
          <w:szCs w:val="24"/>
          <w:lang w:eastAsia="ja-JP"/>
        </w:rPr>
        <w:t>Xian</w:t>
      </w:r>
      <w:r>
        <w:rPr>
          <w:rFonts w:cs="Arial"/>
          <w:bCs/>
          <w:sz w:val="24"/>
          <w:szCs w:val="24"/>
        </w:rPr>
        <w:t>, China, April 8</w:t>
      </w:r>
      <w:r>
        <w:rPr>
          <w:rFonts w:ascii="Arial Unicode MS" w:eastAsia="Arial Unicode MS" w:hAnsi="Arial Unicode MS" w:cs="Arial Unicode MS"/>
          <w:bCs/>
          <w:sz w:val="24"/>
          <w:szCs w:val="24"/>
          <w:vertAlign w:val="superscript"/>
          <w:lang w:eastAsia="ko-KR"/>
        </w:rPr>
        <w:t>th</w:t>
      </w:r>
      <w:r>
        <w:rPr>
          <w:rFonts w:ascii="Arial Unicode MS" w:eastAsia="Arial Unicode MS" w:hAnsi="Arial Unicode MS" w:cs="Arial Unicode MS"/>
          <w:bCs/>
          <w:sz w:val="24"/>
          <w:szCs w:val="24"/>
          <w:lang w:eastAsia="ko-KR"/>
        </w:rPr>
        <w:t xml:space="preserve"> </w:t>
      </w:r>
      <w:r>
        <w:rPr>
          <w:rFonts w:cs="Arial"/>
          <w:bCs/>
          <w:sz w:val="24"/>
          <w:szCs w:val="24"/>
        </w:rPr>
        <w:t>– 12</w:t>
      </w:r>
      <w:r>
        <w:rPr>
          <w:rFonts w:cs="Arial"/>
          <w:bCs/>
          <w:sz w:val="24"/>
          <w:szCs w:val="24"/>
          <w:vertAlign w:val="superscript"/>
        </w:rPr>
        <w:t>th</w:t>
      </w:r>
      <w:r>
        <w:rPr>
          <w:rFonts w:cs="Arial"/>
          <w:bCs/>
          <w:sz w:val="24"/>
          <w:szCs w:val="24"/>
        </w:rPr>
        <w:t>, 2019</w:t>
      </w:r>
    </w:p>
    <w:p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4" w:name="Source"/>
      <w:bookmarkEnd w:id="4"/>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35764C">
        <w:rPr>
          <w:rFonts w:ascii="Arial" w:eastAsia="Malgun Gothic" w:hAnsi="Arial"/>
          <w:sz w:val="24"/>
          <w:szCs w:val="24"/>
          <w:lang w:eastAsia="ko-KR"/>
        </w:rPr>
        <w:t>2.13</w:t>
      </w:r>
      <w:r w:rsidR="00600C2F">
        <w:rPr>
          <w:rFonts w:ascii="Arial" w:eastAsia="Malgun Gothic" w:hAnsi="Arial"/>
          <w:sz w:val="24"/>
          <w:szCs w:val="24"/>
          <w:lang w:eastAsia="ko-KR"/>
        </w:rPr>
        <w:t>.4</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8F559A" w:rsidRPr="008F559A">
        <w:rPr>
          <w:rFonts w:ascii="Arial" w:eastAsia="SimSun" w:hAnsi="Arial" w:cs="Arial"/>
          <w:sz w:val="24"/>
          <w:szCs w:val="24"/>
          <w:lang w:eastAsia="zh-CN"/>
        </w:rPr>
        <w:t xml:space="preserve">On SCell Activation/Deactivation </w:t>
      </w:r>
    </w:p>
    <w:p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5" w:name="DocumentFor"/>
      <w:bookmarkEnd w:id="5"/>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rsidR="00034300" w:rsidRPr="006A074A" w:rsidRDefault="00034300" w:rsidP="005D33FA">
      <w:pPr>
        <w:pStyle w:val="Heading1"/>
        <w:spacing w:before="360" w:after="60"/>
        <w:rPr>
          <w:lang w:val="en-US" w:eastAsia="ko-KR"/>
        </w:rPr>
      </w:pPr>
      <w:r w:rsidRPr="006A074A">
        <w:rPr>
          <w:lang w:val="en-US" w:eastAsia="ko-KR"/>
        </w:rPr>
        <w:t>Introduction</w:t>
      </w:r>
    </w:p>
    <w:p w:rsidR="008470A5" w:rsidRDefault="008470A5" w:rsidP="003F7B12">
      <w:pPr>
        <w:spacing w:after="0"/>
        <w:ind w:right="3"/>
        <w:jc w:val="both"/>
        <w:rPr>
          <w:rFonts w:eastAsia="SimSun"/>
          <w:bCs/>
          <w:lang w:eastAsia="zh-CN"/>
        </w:rPr>
      </w:pPr>
      <w:r w:rsidRPr="00273103">
        <w:rPr>
          <w:bCs/>
        </w:rPr>
        <w:t>This contribution considers</w:t>
      </w:r>
      <w:r w:rsidR="00600C2F">
        <w:rPr>
          <w:rFonts w:eastAsia="SimSun"/>
          <w:bCs/>
          <w:lang w:eastAsia="zh-CN"/>
        </w:rPr>
        <w:t xml:space="preserve"> </w:t>
      </w:r>
      <w:r w:rsidR="00BB7E9C">
        <w:rPr>
          <w:rFonts w:eastAsia="SimSun"/>
          <w:bCs/>
          <w:lang w:eastAsia="zh-CN"/>
        </w:rPr>
        <w:t xml:space="preserve">a potential need to </w:t>
      </w:r>
      <w:r w:rsidR="00C80D23">
        <w:rPr>
          <w:rFonts w:eastAsia="SimSun"/>
          <w:bCs/>
          <w:lang w:eastAsia="zh-CN"/>
        </w:rPr>
        <w:t>reduce a</w:t>
      </w:r>
      <w:r w:rsidR="000065AE">
        <w:rPr>
          <w:rFonts w:eastAsia="SimSun"/>
          <w:bCs/>
          <w:lang w:eastAsia="zh-CN"/>
        </w:rPr>
        <w:t xml:space="preserve"> SCell activation/deactivation </w:t>
      </w:r>
      <w:r w:rsidR="00C80D23">
        <w:rPr>
          <w:rFonts w:eastAsia="SimSun"/>
          <w:bCs/>
          <w:lang w:eastAsia="zh-CN"/>
        </w:rPr>
        <w:t xml:space="preserve">time </w:t>
      </w:r>
      <w:r w:rsidR="00600C2F">
        <w:rPr>
          <w:rFonts w:eastAsia="SimSun"/>
          <w:bCs/>
          <w:lang w:eastAsia="zh-CN"/>
        </w:rPr>
        <w:t>for CA operation</w:t>
      </w:r>
      <w:r w:rsidR="003F7B12">
        <w:rPr>
          <w:rFonts w:eastAsia="SimSun"/>
          <w:bCs/>
          <w:lang w:eastAsia="zh-CN"/>
        </w:rPr>
        <w:t xml:space="preserve"> and the tools that Rel-15 NR provides to operate SCells</w:t>
      </w:r>
      <w:r w:rsidR="000065AE">
        <w:rPr>
          <w:rFonts w:eastAsia="SimSun"/>
          <w:bCs/>
          <w:lang w:eastAsia="zh-CN"/>
        </w:rPr>
        <w:t>.</w:t>
      </w:r>
    </w:p>
    <w:p w:rsidR="003F7B12" w:rsidRDefault="003F7B12" w:rsidP="003F7B12">
      <w:pPr>
        <w:spacing w:after="0"/>
        <w:ind w:right="3"/>
        <w:jc w:val="both"/>
        <w:rPr>
          <w:rFonts w:eastAsia="SimSun"/>
          <w:bCs/>
          <w:lang w:eastAsia="zh-CN"/>
        </w:rPr>
      </w:pPr>
    </w:p>
    <w:p w:rsidR="003F7B12" w:rsidRPr="003F7B12" w:rsidRDefault="003F7B12" w:rsidP="003F7B12">
      <w:pPr>
        <w:spacing w:after="0"/>
        <w:ind w:right="3"/>
        <w:jc w:val="both"/>
        <w:rPr>
          <w:bCs/>
        </w:rPr>
      </w:pPr>
    </w:p>
    <w:p w:rsidR="00747BAA" w:rsidRDefault="00747BAA" w:rsidP="00747BAA">
      <w:pPr>
        <w:pStyle w:val="Heading1"/>
        <w:spacing w:before="0" w:after="60"/>
        <w:rPr>
          <w:szCs w:val="36"/>
          <w:lang w:val="en-US"/>
        </w:rPr>
      </w:pPr>
      <w:r>
        <w:rPr>
          <w:szCs w:val="36"/>
          <w:lang w:val="en-US"/>
        </w:rPr>
        <w:t xml:space="preserve">SCell </w:t>
      </w:r>
      <w:r w:rsidR="0027385C">
        <w:rPr>
          <w:szCs w:val="36"/>
          <w:lang w:val="en-US"/>
        </w:rPr>
        <w:t>Activation/D</w:t>
      </w:r>
      <w:r>
        <w:rPr>
          <w:szCs w:val="36"/>
          <w:lang w:val="en-US"/>
        </w:rPr>
        <w:t>eactivation</w:t>
      </w:r>
    </w:p>
    <w:p w:rsidR="00A1407A" w:rsidRDefault="00A1407A" w:rsidP="00A1407A">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The motivation for faster SCell activation/deactivation is to enable faster adaptation of a number of activated/deactivated SCells for a UE to an offered UE traffic. In Rel-15, a transition time between deactivated and activated states for a SCell can be in the tens of msec (e.g. 24 to 32 msec). This issue was addressed in LTE through the introduction of a third SCell state, the ‘dormant’ state</w:t>
      </w:r>
      <w:r w:rsidR="0078416C">
        <w:rPr>
          <w:rFonts w:eastAsia="SimSun" w:cs="Arial"/>
          <w:kern w:val="2"/>
          <w:lang w:eastAsia="zh-CN"/>
        </w:rPr>
        <w:t xml:space="preserve"> [2]</w:t>
      </w:r>
      <w:r>
        <w:rPr>
          <w:rFonts w:eastAsia="SimSun" w:cs="Arial"/>
          <w:kern w:val="2"/>
          <w:lang w:eastAsia="zh-CN"/>
        </w:rPr>
        <w:t xml:space="preserve">. </w:t>
      </w:r>
    </w:p>
    <w:p w:rsidR="00A1407A" w:rsidRDefault="00A1407A" w:rsidP="00A1407A">
      <w:pPr>
        <w:overflowPunct w:val="0"/>
        <w:autoSpaceDE w:val="0"/>
        <w:autoSpaceDN w:val="0"/>
        <w:adjustRightInd w:val="0"/>
        <w:spacing w:after="0"/>
        <w:jc w:val="both"/>
        <w:textAlignment w:val="baseline"/>
        <w:rPr>
          <w:rFonts w:eastAsia="SimSun" w:cs="Arial"/>
          <w:kern w:val="2"/>
          <w:lang w:eastAsia="zh-CN"/>
        </w:rPr>
      </w:pPr>
    </w:p>
    <w:p w:rsidR="00A1407A" w:rsidRDefault="00A1407A" w:rsidP="00A1407A">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 xml:space="preserve">In the dormant SCell state, a UE performs </w:t>
      </w:r>
      <w:r w:rsidR="00581C63">
        <w:rPr>
          <w:rFonts w:eastAsia="SimSun" w:cs="Arial"/>
          <w:kern w:val="2"/>
          <w:lang w:eastAsia="zh-CN"/>
        </w:rPr>
        <w:t xml:space="preserve">CSI measurements, AGC tracking, and time/frequency tracking, thereby removing the components with the largest contribution to SCell activation delay. In NR, the activation delay associated with those procedures will be larger than in LTE due to the sparseness of SS/PBCH blocks in NR compared to the CRS in LTE. The situation will be even worse in FR2. </w:t>
      </w:r>
      <w:r w:rsidR="00375377">
        <w:rPr>
          <w:rFonts w:eastAsia="SimSun" w:cs="Arial"/>
          <w:kern w:val="2"/>
          <w:lang w:eastAsia="zh-CN"/>
        </w:rPr>
        <w:t xml:space="preserve">It is noted that even for intra-band CA, if a UE is allowed to reduce the RF BW to not include a SCell, activation of the SCell is similar to inter-band SCell activation (for AGC, time/frequency synchronization, etc.).  </w:t>
      </w:r>
    </w:p>
    <w:p w:rsidR="00581C63" w:rsidRDefault="00581C63" w:rsidP="00A1407A">
      <w:pPr>
        <w:overflowPunct w:val="0"/>
        <w:autoSpaceDE w:val="0"/>
        <w:autoSpaceDN w:val="0"/>
        <w:adjustRightInd w:val="0"/>
        <w:spacing w:after="0"/>
        <w:jc w:val="both"/>
        <w:textAlignment w:val="baseline"/>
        <w:rPr>
          <w:rFonts w:eastAsia="SimSun" w:cs="Arial"/>
          <w:kern w:val="2"/>
          <w:lang w:eastAsia="zh-CN"/>
        </w:rPr>
      </w:pPr>
    </w:p>
    <w:p w:rsidR="00581C63" w:rsidRDefault="00581C63" w:rsidP="00581C63">
      <w:pPr>
        <w:spacing w:after="0"/>
        <w:jc w:val="both"/>
        <w:rPr>
          <w:b/>
          <w:u w:val="single"/>
        </w:rPr>
      </w:pPr>
      <w:r>
        <w:rPr>
          <w:b/>
          <w:u w:val="single"/>
        </w:rPr>
        <w:t>Observation 1</w:t>
      </w:r>
      <w:r w:rsidRPr="00747BAA">
        <w:rPr>
          <w:b/>
          <w:u w:val="single"/>
        </w:rPr>
        <w:t xml:space="preserve">: </w:t>
      </w:r>
      <w:r>
        <w:rPr>
          <w:u w:val="single"/>
        </w:rPr>
        <w:t xml:space="preserve">SCell activation delays associated with </w:t>
      </w:r>
      <w:r w:rsidR="003C70C0">
        <w:rPr>
          <w:u w:val="single"/>
        </w:rPr>
        <w:t>CSI measurements, AGC tracking, and time/frequency tracking are larger in NR relative to LTE</w:t>
      </w:r>
      <w:r w:rsidRPr="00600C2F">
        <w:rPr>
          <w:u w:val="single"/>
        </w:rPr>
        <w:t>.</w:t>
      </w:r>
    </w:p>
    <w:p w:rsidR="00581C63" w:rsidRDefault="00581C63" w:rsidP="00A1407A">
      <w:pPr>
        <w:overflowPunct w:val="0"/>
        <w:autoSpaceDE w:val="0"/>
        <w:autoSpaceDN w:val="0"/>
        <w:adjustRightInd w:val="0"/>
        <w:spacing w:after="0"/>
        <w:jc w:val="both"/>
        <w:textAlignment w:val="baseline"/>
        <w:rPr>
          <w:rFonts w:eastAsia="SimSun" w:cs="Arial"/>
          <w:kern w:val="2"/>
          <w:lang w:eastAsia="zh-CN"/>
        </w:rPr>
      </w:pPr>
    </w:p>
    <w:p w:rsidR="003C70C0" w:rsidRDefault="003C70C0" w:rsidP="00A1407A">
      <w:pPr>
        <w:overflowPunct w:val="0"/>
        <w:autoSpaceDE w:val="0"/>
        <w:autoSpaceDN w:val="0"/>
        <w:adjustRightInd w:val="0"/>
        <w:spacing w:after="0"/>
        <w:jc w:val="both"/>
        <w:textAlignment w:val="baseline"/>
        <w:rPr>
          <w:rFonts w:eastAsia="SimSun" w:cs="Arial"/>
          <w:kern w:val="2"/>
          <w:lang w:eastAsia="zh-CN"/>
        </w:rPr>
      </w:pPr>
    </w:p>
    <w:p w:rsidR="003C70C0" w:rsidRDefault="003C70C0" w:rsidP="00A1407A">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 xml:space="preserve">SCell activation by PDCCH can offer only marginal benefits over SCell activation by MAC CE. Further, any benefits may even be practically cancelled if HARQ-ACK feedback from the UE is required to ensure a common understanding with the serving gNB. Therefore, as in LTE, a ‘dormant’ cell state rather than PDCCH activation is an effective solution to shortening a SCell activation delay. </w:t>
      </w:r>
    </w:p>
    <w:p w:rsidR="003C70C0" w:rsidRDefault="003C70C0" w:rsidP="00A1407A">
      <w:pPr>
        <w:overflowPunct w:val="0"/>
        <w:autoSpaceDE w:val="0"/>
        <w:autoSpaceDN w:val="0"/>
        <w:adjustRightInd w:val="0"/>
        <w:spacing w:after="0"/>
        <w:jc w:val="both"/>
        <w:textAlignment w:val="baseline"/>
        <w:rPr>
          <w:rFonts w:eastAsia="SimSun" w:cs="Arial"/>
          <w:kern w:val="2"/>
          <w:lang w:eastAsia="zh-CN"/>
        </w:rPr>
      </w:pPr>
    </w:p>
    <w:p w:rsidR="00375377" w:rsidRDefault="00375377" w:rsidP="00A1407A">
      <w:pPr>
        <w:overflowPunct w:val="0"/>
        <w:autoSpaceDE w:val="0"/>
        <w:autoSpaceDN w:val="0"/>
        <w:adjustRightInd w:val="0"/>
        <w:spacing w:after="0"/>
        <w:jc w:val="both"/>
        <w:textAlignment w:val="baseline"/>
        <w:rPr>
          <w:rFonts w:eastAsia="SimSun" w:cs="Arial"/>
          <w:kern w:val="2"/>
          <w:lang w:eastAsia="zh-CN"/>
        </w:rPr>
      </w:pPr>
    </w:p>
    <w:p w:rsidR="003C70C0" w:rsidRDefault="003C70C0" w:rsidP="003C70C0">
      <w:pPr>
        <w:spacing w:after="0"/>
        <w:jc w:val="both"/>
        <w:rPr>
          <w:b/>
          <w:u w:val="single"/>
        </w:rPr>
      </w:pPr>
      <w:r>
        <w:rPr>
          <w:b/>
          <w:u w:val="single"/>
        </w:rPr>
        <w:t>Observation 2</w:t>
      </w:r>
      <w:r w:rsidRPr="00747BAA">
        <w:rPr>
          <w:b/>
          <w:u w:val="single"/>
        </w:rPr>
        <w:t xml:space="preserve">: </w:t>
      </w:r>
      <w:r>
        <w:rPr>
          <w:u w:val="single"/>
        </w:rPr>
        <w:t>SCell activation by PDCCH does not address the root cause of SCell activation delay and may not offer any meaningful benefits</w:t>
      </w:r>
      <w:r w:rsidRPr="00600C2F">
        <w:rPr>
          <w:u w:val="single"/>
        </w:rPr>
        <w:t>.</w:t>
      </w:r>
    </w:p>
    <w:p w:rsidR="003C70C0" w:rsidRDefault="003C70C0" w:rsidP="00A1407A">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 xml:space="preserve"> </w:t>
      </w:r>
    </w:p>
    <w:p w:rsidR="003C70C0" w:rsidRDefault="003C70C0" w:rsidP="00A1407A">
      <w:pPr>
        <w:overflowPunct w:val="0"/>
        <w:autoSpaceDE w:val="0"/>
        <w:autoSpaceDN w:val="0"/>
        <w:adjustRightInd w:val="0"/>
        <w:spacing w:after="0"/>
        <w:jc w:val="both"/>
        <w:textAlignment w:val="baseline"/>
        <w:rPr>
          <w:rFonts w:eastAsia="SimSun" w:cs="Arial"/>
          <w:kern w:val="2"/>
          <w:lang w:eastAsia="zh-CN"/>
        </w:rPr>
      </w:pPr>
    </w:p>
    <w:p w:rsidR="007F4A3E" w:rsidRDefault="003C70C0" w:rsidP="003F7B12">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NR can effectively r</w:t>
      </w:r>
      <w:r w:rsidR="0078416C">
        <w:rPr>
          <w:rFonts w:eastAsia="SimSun" w:cs="Arial"/>
          <w:kern w:val="2"/>
          <w:lang w:eastAsia="zh-CN"/>
        </w:rPr>
        <w:t>ely on Rel-15 mechanisms and use</w:t>
      </w:r>
      <w:r>
        <w:rPr>
          <w:rFonts w:eastAsia="SimSun" w:cs="Arial"/>
          <w:kern w:val="2"/>
          <w:lang w:eastAsia="zh-CN"/>
        </w:rPr>
        <w:t xml:space="preserve"> BWPs to support ‘dormant’ cell functionality. Rel-15 NR enables a flexible configuration to the UE operation </w:t>
      </w:r>
      <w:r w:rsidR="0078416C">
        <w:rPr>
          <w:rFonts w:eastAsia="SimSun" w:cs="Arial"/>
          <w:kern w:val="2"/>
          <w:lang w:eastAsia="zh-CN"/>
        </w:rPr>
        <w:t xml:space="preserve">in terms of PDCCH monitoring and CSI measurements. </w:t>
      </w:r>
      <w:r w:rsidR="00C9747E">
        <w:rPr>
          <w:rFonts w:eastAsia="SimSun" w:cs="Arial"/>
          <w:kern w:val="2"/>
          <w:lang w:eastAsia="zh-CN"/>
        </w:rPr>
        <w:t xml:space="preserve">Cross-carrier scheduling enables switching the BWP of a SCell to another BWP, such as one with large BW and (frequent) PDCCH monitoring. </w:t>
      </w:r>
      <w:r w:rsidR="00690054">
        <w:rPr>
          <w:rFonts w:eastAsia="SimSun" w:cs="Arial"/>
          <w:kern w:val="2"/>
          <w:lang w:eastAsia="zh-CN"/>
        </w:rPr>
        <w:t>BWP switching latency can even be avoided and CSI can be made immediately available by the network configuring to the UE different BWP indexes, with different corresponding configurations, for the same bandwidth</w:t>
      </w:r>
      <w:r w:rsidR="005E5954">
        <w:rPr>
          <w:rFonts w:eastAsia="SimSun" w:cs="Arial"/>
          <w:kern w:val="2"/>
          <w:lang w:eastAsia="zh-CN"/>
        </w:rPr>
        <w:t xml:space="preserve"> (a clarification may be needed in the specification that there is no BWP switching delay if there is no change in the </w:t>
      </w:r>
      <w:r w:rsidR="00D97C2E">
        <w:rPr>
          <w:rFonts w:eastAsia="SimSun" w:cs="Arial"/>
          <w:kern w:val="2"/>
          <w:lang w:eastAsia="zh-CN"/>
        </w:rPr>
        <w:t xml:space="preserve">corresponding </w:t>
      </w:r>
      <w:r w:rsidR="005E5954">
        <w:rPr>
          <w:rFonts w:eastAsia="SimSun" w:cs="Arial"/>
          <w:kern w:val="2"/>
          <w:lang w:eastAsia="zh-CN"/>
        </w:rPr>
        <w:t>bandwidth)</w:t>
      </w:r>
      <w:r w:rsidR="00690054">
        <w:rPr>
          <w:rFonts w:eastAsia="SimSun" w:cs="Arial"/>
          <w:kern w:val="2"/>
          <w:lang w:eastAsia="zh-CN"/>
        </w:rPr>
        <w:t xml:space="preserve">. This effectively allows the network to be switching the UE between operating states without any associated switching latency or ‘warm-up’ latency. </w:t>
      </w:r>
    </w:p>
    <w:p w:rsidR="009F004D" w:rsidRDefault="009F004D" w:rsidP="00D27C99">
      <w:pPr>
        <w:spacing w:after="0"/>
        <w:jc w:val="both"/>
        <w:rPr>
          <w:b/>
          <w:u w:val="single"/>
        </w:rPr>
      </w:pPr>
    </w:p>
    <w:p w:rsidR="00D27C99" w:rsidRDefault="00D27C99" w:rsidP="00D27C99">
      <w:pPr>
        <w:spacing w:after="0"/>
        <w:jc w:val="both"/>
        <w:rPr>
          <w:b/>
          <w:u w:val="single"/>
        </w:rPr>
      </w:pPr>
      <w:r>
        <w:rPr>
          <w:b/>
          <w:u w:val="single"/>
        </w:rPr>
        <w:t>Observation</w:t>
      </w:r>
      <w:r w:rsidR="00AF5334">
        <w:rPr>
          <w:b/>
          <w:u w:val="single"/>
        </w:rPr>
        <w:t xml:space="preserve"> 3</w:t>
      </w:r>
      <w:r w:rsidRPr="00747BAA">
        <w:rPr>
          <w:b/>
          <w:u w:val="single"/>
        </w:rPr>
        <w:t>:</w:t>
      </w:r>
      <w:r w:rsidR="00AF5334">
        <w:rPr>
          <w:u w:val="single"/>
        </w:rPr>
        <w:t xml:space="preserve"> Rel-15 NR </w:t>
      </w:r>
      <w:r w:rsidR="007F4A3E">
        <w:rPr>
          <w:u w:val="single"/>
        </w:rPr>
        <w:t xml:space="preserve">practically </w:t>
      </w:r>
      <w:r w:rsidR="00E03131">
        <w:rPr>
          <w:u w:val="single"/>
        </w:rPr>
        <w:t>supports c</w:t>
      </w:r>
      <w:r w:rsidR="00AF5334">
        <w:rPr>
          <w:u w:val="single"/>
        </w:rPr>
        <w:t>ell ‘dormancy’</w:t>
      </w:r>
      <w:r w:rsidR="007F4A3E">
        <w:rPr>
          <w:u w:val="single"/>
        </w:rPr>
        <w:t>, thereby offering fast SCell activation/deactivation.</w:t>
      </w:r>
      <w:r w:rsidR="00E03131">
        <w:rPr>
          <w:u w:val="single"/>
        </w:rPr>
        <w:t xml:space="preserve"> </w:t>
      </w:r>
    </w:p>
    <w:p w:rsidR="00747BAA" w:rsidRDefault="00747BAA" w:rsidP="00747BAA">
      <w:pPr>
        <w:overflowPunct w:val="0"/>
        <w:autoSpaceDE w:val="0"/>
        <w:autoSpaceDN w:val="0"/>
        <w:adjustRightInd w:val="0"/>
        <w:spacing w:after="0"/>
        <w:jc w:val="both"/>
        <w:textAlignment w:val="baseline"/>
        <w:rPr>
          <w:rFonts w:eastAsia="SimSun" w:cs="Arial"/>
          <w:kern w:val="2"/>
          <w:u w:val="single"/>
          <w:lang w:eastAsia="zh-CN"/>
        </w:rPr>
      </w:pPr>
    </w:p>
    <w:p w:rsidR="007F4A3E" w:rsidRDefault="007F4A3E" w:rsidP="00747BAA">
      <w:pPr>
        <w:overflowPunct w:val="0"/>
        <w:autoSpaceDE w:val="0"/>
        <w:autoSpaceDN w:val="0"/>
        <w:adjustRightInd w:val="0"/>
        <w:spacing w:after="0"/>
        <w:jc w:val="both"/>
        <w:textAlignment w:val="baseline"/>
        <w:rPr>
          <w:rFonts w:eastAsia="SimSun" w:cs="Arial"/>
          <w:kern w:val="2"/>
          <w:u w:val="single"/>
          <w:lang w:eastAsia="zh-CN"/>
        </w:rPr>
      </w:pPr>
    </w:p>
    <w:p w:rsidR="007F4A3E" w:rsidRPr="007F4A3E" w:rsidRDefault="007F4A3E" w:rsidP="00747BAA">
      <w:pPr>
        <w:overflowPunct w:val="0"/>
        <w:autoSpaceDE w:val="0"/>
        <w:autoSpaceDN w:val="0"/>
        <w:adjustRightInd w:val="0"/>
        <w:spacing w:after="0"/>
        <w:jc w:val="both"/>
        <w:textAlignment w:val="baseline"/>
        <w:rPr>
          <w:rFonts w:eastAsia="SimSun" w:cs="Arial"/>
          <w:kern w:val="2"/>
          <w:lang w:eastAsia="zh-CN"/>
        </w:rPr>
      </w:pPr>
      <w:r w:rsidRPr="007F4A3E">
        <w:rPr>
          <w:rFonts w:eastAsia="SimSun" w:cs="Arial"/>
          <w:kern w:val="2"/>
          <w:lang w:eastAsia="zh-CN"/>
        </w:rPr>
        <w:t xml:space="preserve">One aspect to </w:t>
      </w:r>
      <w:r>
        <w:rPr>
          <w:rFonts w:eastAsia="SimSun" w:cs="Arial"/>
          <w:kern w:val="2"/>
          <w:lang w:eastAsia="zh-CN"/>
        </w:rPr>
        <w:t xml:space="preserve">be resolved to improve the effectiveness of cross-carrier scheduling in Rel-16 and as a result improve SCell ‘activation’ by cross-carrier scheduling in to introduce the RRC signaling support for configuring the </w:t>
      </w:r>
      <w:r>
        <w:rPr>
          <w:rFonts w:eastAsia="Times New Roman"/>
          <w:lang w:val="en-GB"/>
        </w:rPr>
        <w:t xml:space="preserve">number of PDCCH candidates for a scheduled SCell in each corresponding search-space set of the scheduling cell [3]. This was not possible in Rel-15 due to a misalignment between RAN1 and RAN2 and a lateness in modifying the RRC parameters. </w:t>
      </w:r>
      <w:r>
        <w:rPr>
          <w:rFonts w:eastAsia="SimSun" w:cs="Arial"/>
          <w:kern w:val="2"/>
          <w:lang w:eastAsia="zh-CN"/>
        </w:rPr>
        <w:t xml:space="preserve"> </w:t>
      </w:r>
    </w:p>
    <w:p w:rsidR="00600C2F" w:rsidRDefault="00600C2F" w:rsidP="00747BAA">
      <w:pPr>
        <w:overflowPunct w:val="0"/>
        <w:autoSpaceDE w:val="0"/>
        <w:autoSpaceDN w:val="0"/>
        <w:adjustRightInd w:val="0"/>
        <w:spacing w:after="0"/>
        <w:jc w:val="both"/>
        <w:textAlignment w:val="baseline"/>
        <w:rPr>
          <w:rFonts w:eastAsia="SimSun" w:cs="Arial"/>
          <w:kern w:val="2"/>
          <w:u w:val="single"/>
          <w:lang w:eastAsia="zh-CN"/>
        </w:rPr>
      </w:pPr>
    </w:p>
    <w:p w:rsidR="0016494D" w:rsidRPr="0016494D" w:rsidRDefault="0016494D" w:rsidP="00747BAA">
      <w:pPr>
        <w:overflowPunct w:val="0"/>
        <w:autoSpaceDE w:val="0"/>
        <w:autoSpaceDN w:val="0"/>
        <w:adjustRightInd w:val="0"/>
        <w:spacing w:after="0"/>
        <w:jc w:val="both"/>
        <w:textAlignment w:val="baseline"/>
        <w:rPr>
          <w:rFonts w:eastAsia="SimSun" w:cs="Arial"/>
          <w:kern w:val="2"/>
          <w:lang w:eastAsia="zh-CN"/>
        </w:rPr>
      </w:pPr>
      <w:r w:rsidRPr="0016494D">
        <w:rPr>
          <w:rFonts w:eastAsia="SimSun" w:cs="Arial"/>
          <w:kern w:val="2"/>
          <w:lang w:eastAsia="zh-CN"/>
        </w:rPr>
        <w:lastRenderedPageBreak/>
        <w:t xml:space="preserve">Another aspect </w:t>
      </w:r>
      <w:r>
        <w:rPr>
          <w:rFonts w:eastAsia="SimSun" w:cs="Arial"/>
          <w:kern w:val="2"/>
          <w:lang w:eastAsia="zh-CN"/>
        </w:rPr>
        <w:t>that may need to be addressed is a capability to switch a SCell between self-carrier scheduling and cross-carrier scheduling to avoid overloading the scheduling cell. This can simply be done by having self/cross-carrier scheduling be BWP-specific instead of cell-specific.</w:t>
      </w:r>
    </w:p>
    <w:p w:rsidR="0016494D" w:rsidRDefault="0016494D" w:rsidP="00747BAA">
      <w:pPr>
        <w:overflowPunct w:val="0"/>
        <w:autoSpaceDE w:val="0"/>
        <w:autoSpaceDN w:val="0"/>
        <w:adjustRightInd w:val="0"/>
        <w:spacing w:after="0"/>
        <w:jc w:val="both"/>
        <w:textAlignment w:val="baseline"/>
        <w:rPr>
          <w:rFonts w:eastAsia="SimSun" w:cs="Arial"/>
          <w:kern w:val="2"/>
          <w:u w:val="single"/>
          <w:lang w:eastAsia="zh-CN"/>
        </w:rPr>
      </w:pPr>
    </w:p>
    <w:p w:rsidR="0016494D" w:rsidRDefault="0016494D" w:rsidP="0016494D">
      <w:pPr>
        <w:spacing w:after="0"/>
        <w:jc w:val="both"/>
        <w:rPr>
          <w:b/>
          <w:u w:val="single"/>
        </w:rPr>
      </w:pPr>
      <w:r>
        <w:rPr>
          <w:b/>
          <w:u w:val="single"/>
        </w:rPr>
        <w:t>Observation 4</w:t>
      </w:r>
      <w:r w:rsidRPr="00747BAA">
        <w:rPr>
          <w:b/>
          <w:u w:val="single"/>
        </w:rPr>
        <w:t>:</w:t>
      </w:r>
      <w:r>
        <w:rPr>
          <w:u w:val="single"/>
        </w:rPr>
        <w:t xml:space="preserve"> Configuring the PDCCH candidates for a scheduled cell in each corresponding search space set of the scheduling cell and making self-carrier/cross-carrier scheduling BWP specific can provide meaningful enhancements in supporting ‘SCell dormancy’ in NR. </w:t>
      </w:r>
    </w:p>
    <w:p w:rsidR="0016494D" w:rsidRDefault="0016494D" w:rsidP="00747BAA">
      <w:pPr>
        <w:overflowPunct w:val="0"/>
        <w:autoSpaceDE w:val="0"/>
        <w:autoSpaceDN w:val="0"/>
        <w:adjustRightInd w:val="0"/>
        <w:spacing w:after="0"/>
        <w:jc w:val="both"/>
        <w:textAlignment w:val="baseline"/>
        <w:rPr>
          <w:rFonts w:eastAsia="SimSun" w:cs="Arial"/>
          <w:kern w:val="2"/>
          <w:u w:val="single"/>
          <w:lang w:eastAsia="zh-CN"/>
        </w:rPr>
      </w:pPr>
    </w:p>
    <w:p w:rsidR="0016494D" w:rsidRDefault="0016494D" w:rsidP="00747BAA">
      <w:pPr>
        <w:overflowPunct w:val="0"/>
        <w:autoSpaceDE w:val="0"/>
        <w:autoSpaceDN w:val="0"/>
        <w:adjustRightInd w:val="0"/>
        <w:spacing w:after="0"/>
        <w:jc w:val="both"/>
        <w:textAlignment w:val="baseline"/>
        <w:rPr>
          <w:rFonts w:eastAsia="SimSun" w:cs="Arial"/>
          <w:kern w:val="2"/>
          <w:u w:val="single"/>
          <w:lang w:eastAsia="zh-CN"/>
        </w:rPr>
      </w:pPr>
    </w:p>
    <w:p w:rsidR="007F4A3E" w:rsidRDefault="007F4A3E" w:rsidP="00747BAA">
      <w:pPr>
        <w:overflowPunct w:val="0"/>
        <w:autoSpaceDE w:val="0"/>
        <w:autoSpaceDN w:val="0"/>
        <w:adjustRightInd w:val="0"/>
        <w:spacing w:after="0"/>
        <w:jc w:val="both"/>
        <w:textAlignment w:val="baseline"/>
        <w:rPr>
          <w:rFonts w:eastAsia="SimSun" w:cs="Arial"/>
          <w:kern w:val="2"/>
          <w:u w:val="single"/>
          <w:lang w:eastAsia="zh-CN"/>
        </w:rPr>
      </w:pPr>
    </w:p>
    <w:p w:rsidR="00D12FFD" w:rsidRPr="007C28D5" w:rsidRDefault="00236222" w:rsidP="007C28D5">
      <w:pPr>
        <w:pStyle w:val="Heading1"/>
        <w:spacing w:before="0" w:after="60"/>
        <w:rPr>
          <w:lang w:val="en-US" w:eastAsia="ko-KR"/>
        </w:rPr>
      </w:pPr>
      <w:r w:rsidRPr="00BF18A8">
        <w:rPr>
          <w:lang w:val="en-US" w:eastAsia="ko-KR"/>
        </w:rPr>
        <w:t>Conclusions</w:t>
      </w:r>
    </w:p>
    <w:p w:rsidR="00C80D23" w:rsidRDefault="00E47EBE" w:rsidP="00C651C5">
      <w:pPr>
        <w:spacing w:after="0"/>
        <w:jc w:val="both"/>
        <w:rPr>
          <w:lang w:eastAsia="ko-KR"/>
        </w:rPr>
      </w:pPr>
      <w:r>
        <w:rPr>
          <w:lang w:eastAsia="ko-KR"/>
        </w:rPr>
        <w:t xml:space="preserve">This contribution considered potential </w:t>
      </w:r>
      <w:r w:rsidR="009618F7">
        <w:rPr>
          <w:lang w:eastAsia="ko-KR"/>
        </w:rPr>
        <w:t xml:space="preserve">need for </w:t>
      </w:r>
      <w:r>
        <w:rPr>
          <w:lang w:eastAsia="ko-KR"/>
        </w:rPr>
        <w:t>enhancements in reducing a latency for SCell activation/deactivation. Based on the analysis in the previous section,</w:t>
      </w:r>
      <w:r w:rsidR="00C80D23">
        <w:rPr>
          <w:lang w:eastAsia="ko-KR"/>
        </w:rPr>
        <w:t xml:space="preserve"> t</w:t>
      </w:r>
      <w:r w:rsidR="009618F7">
        <w:rPr>
          <w:lang w:eastAsia="ko-KR"/>
        </w:rPr>
        <w:t>he following are observed</w:t>
      </w:r>
      <w:r w:rsidR="00C80D23">
        <w:rPr>
          <w:lang w:eastAsia="ko-KR"/>
        </w:rPr>
        <w:t>.</w:t>
      </w:r>
    </w:p>
    <w:p w:rsidR="00C80D23" w:rsidRDefault="00C80D23" w:rsidP="00C651C5">
      <w:pPr>
        <w:spacing w:after="0"/>
        <w:jc w:val="both"/>
        <w:rPr>
          <w:lang w:eastAsia="ko-KR"/>
        </w:rPr>
      </w:pPr>
    </w:p>
    <w:p w:rsidR="009618F7" w:rsidRDefault="009618F7" w:rsidP="009618F7">
      <w:pPr>
        <w:spacing w:after="0"/>
        <w:jc w:val="both"/>
        <w:rPr>
          <w:b/>
          <w:u w:val="single"/>
        </w:rPr>
      </w:pPr>
      <w:r>
        <w:rPr>
          <w:b/>
          <w:u w:val="single"/>
        </w:rPr>
        <w:t>Observation 1</w:t>
      </w:r>
      <w:r w:rsidRPr="00747BAA">
        <w:rPr>
          <w:b/>
          <w:u w:val="single"/>
        </w:rPr>
        <w:t xml:space="preserve">: </w:t>
      </w:r>
      <w:r>
        <w:rPr>
          <w:u w:val="single"/>
        </w:rPr>
        <w:t>SCell activation delays associated with CSI measurements, AGC tracking, and time/frequency tracking are larger in NR relative to LTE</w:t>
      </w:r>
      <w:r w:rsidRPr="00600C2F">
        <w:rPr>
          <w:u w:val="single"/>
        </w:rPr>
        <w:t>.</w:t>
      </w:r>
    </w:p>
    <w:p w:rsidR="003B389B" w:rsidRDefault="003B389B" w:rsidP="00C651C5">
      <w:pPr>
        <w:spacing w:after="0"/>
        <w:jc w:val="both"/>
        <w:rPr>
          <w:lang w:eastAsia="ko-KR"/>
        </w:rPr>
      </w:pPr>
    </w:p>
    <w:p w:rsidR="009618F7" w:rsidRDefault="009618F7" w:rsidP="009618F7">
      <w:pPr>
        <w:spacing w:after="0"/>
        <w:jc w:val="both"/>
        <w:rPr>
          <w:b/>
          <w:u w:val="single"/>
        </w:rPr>
      </w:pPr>
      <w:r>
        <w:rPr>
          <w:b/>
          <w:u w:val="single"/>
        </w:rPr>
        <w:t>Observation 2</w:t>
      </w:r>
      <w:r w:rsidRPr="00747BAA">
        <w:rPr>
          <w:b/>
          <w:u w:val="single"/>
        </w:rPr>
        <w:t xml:space="preserve">: </w:t>
      </w:r>
      <w:r>
        <w:rPr>
          <w:u w:val="single"/>
        </w:rPr>
        <w:t>SCell activation by PDCCH does not address the root cause of SCell activation delay and may not offer any meaningful benefits</w:t>
      </w:r>
      <w:r w:rsidRPr="00600C2F">
        <w:rPr>
          <w:u w:val="single"/>
        </w:rPr>
        <w:t>.</w:t>
      </w:r>
    </w:p>
    <w:p w:rsidR="009618F7" w:rsidRDefault="009618F7" w:rsidP="00C651C5">
      <w:pPr>
        <w:spacing w:after="0"/>
        <w:jc w:val="both"/>
        <w:rPr>
          <w:lang w:eastAsia="ko-KR"/>
        </w:rPr>
      </w:pPr>
    </w:p>
    <w:p w:rsidR="009618F7" w:rsidRDefault="009618F7" w:rsidP="009618F7">
      <w:pPr>
        <w:spacing w:after="0"/>
        <w:jc w:val="both"/>
        <w:rPr>
          <w:b/>
          <w:u w:val="single"/>
        </w:rPr>
      </w:pPr>
      <w:r>
        <w:rPr>
          <w:b/>
          <w:u w:val="single"/>
        </w:rPr>
        <w:t>Observation 3</w:t>
      </w:r>
      <w:r w:rsidRPr="00747BAA">
        <w:rPr>
          <w:b/>
          <w:u w:val="single"/>
        </w:rPr>
        <w:t>:</w:t>
      </w:r>
      <w:r>
        <w:rPr>
          <w:u w:val="single"/>
        </w:rPr>
        <w:t xml:space="preserve"> Rel-15 NR practically supports cell ‘dormancy’, thereby offering fast SCell activation/deactivation. </w:t>
      </w:r>
    </w:p>
    <w:p w:rsidR="009618F7" w:rsidRDefault="009618F7" w:rsidP="00C651C5">
      <w:pPr>
        <w:spacing w:after="0"/>
        <w:jc w:val="both"/>
        <w:rPr>
          <w:lang w:eastAsia="ko-KR"/>
        </w:rPr>
      </w:pPr>
    </w:p>
    <w:p w:rsidR="0016494D" w:rsidRDefault="0016494D" w:rsidP="0016494D">
      <w:pPr>
        <w:spacing w:after="0"/>
        <w:jc w:val="both"/>
        <w:rPr>
          <w:b/>
          <w:u w:val="single"/>
        </w:rPr>
      </w:pPr>
      <w:r>
        <w:rPr>
          <w:b/>
          <w:u w:val="single"/>
        </w:rPr>
        <w:t>Observation 4</w:t>
      </w:r>
      <w:r w:rsidRPr="00747BAA">
        <w:rPr>
          <w:b/>
          <w:u w:val="single"/>
        </w:rPr>
        <w:t>:</w:t>
      </w:r>
      <w:r>
        <w:rPr>
          <w:u w:val="single"/>
        </w:rPr>
        <w:t xml:space="preserve"> Configuring the PDCCH candidates for a scheduled cell in each corresponding search space set of the scheduling cell and making self-carrier/cross-carrier scheduling BWP specific can provide meaningful enhancements in supporting ‘SCell dormancy’ in NR. </w:t>
      </w:r>
    </w:p>
    <w:p w:rsidR="00864103" w:rsidRDefault="00864103" w:rsidP="00C651C5">
      <w:pPr>
        <w:spacing w:after="0"/>
        <w:jc w:val="both"/>
        <w:rPr>
          <w:lang w:eastAsia="ko-KR"/>
        </w:rPr>
      </w:pPr>
    </w:p>
    <w:p w:rsidR="009618F7" w:rsidRPr="00D12FFD" w:rsidRDefault="009618F7" w:rsidP="00C651C5">
      <w:pPr>
        <w:spacing w:after="0"/>
        <w:jc w:val="both"/>
        <w:rPr>
          <w:lang w:eastAsia="ko-KR"/>
        </w:rPr>
      </w:pPr>
    </w:p>
    <w:p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rsidR="0034136F" w:rsidRPr="0078416C" w:rsidRDefault="0034136F" w:rsidP="007F4A3E">
      <w:pPr>
        <w:widowControl w:val="0"/>
        <w:numPr>
          <w:ilvl w:val="0"/>
          <w:numId w:val="15"/>
        </w:numPr>
        <w:spacing w:after="60"/>
        <w:jc w:val="both"/>
        <w:rPr>
          <w:rFonts w:eastAsia="SimSun"/>
          <w:lang w:eastAsia="zh-CN"/>
        </w:rPr>
      </w:pPr>
      <w:r>
        <w:rPr>
          <w:lang w:eastAsia="ja-JP"/>
        </w:rPr>
        <w:t>RP-182076</w:t>
      </w:r>
      <w:r w:rsidR="00B475A6" w:rsidRPr="004E46A8">
        <w:rPr>
          <w:lang w:eastAsia="ja-JP"/>
        </w:rPr>
        <w:t>, “</w:t>
      </w:r>
      <w:r>
        <w:rPr>
          <w:rFonts w:eastAsia="Batang"/>
          <w:lang w:eastAsia="zh-CN"/>
        </w:rPr>
        <w:t>W</w:t>
      </w:r>
      <w:r w:rsidR="004E46A8" w:rsidRPr="00C44A43">
        <w:rPr>
          <w:rFonts w:eastAsia="Batang"/>
          <w:lang w:eastAsia="zh-CN"/>
        </w:rPr>
        <w:t xml:space="preserve">ID on </w:t>
      </w:r>
      <w:r>
        <w:rPr>
          <w:rFonts w:eastAsia="Batang"/>
          <w:lang w:eastAsia="zh-CN"/>
        </w:rPr>
        <w:t>Multi-RAT Dual Connectivity and Carrier Aggregation Enhancements</w:t>
      </w:r>
      <w:r w:rsidR="00B475A6" w:rsidRPr="00C44A43">
        <w:rPr>
          <w:lang w:eastAsia="ja-JP"/>
        </w:rPr>
        <w:t>”</w:t>
      </w:r>
    </w:p>
    <w:p w:rsidR="0078416C" w:rsidRDefault="0078416C" w:rsidP="007F4A3E">
      <w:pPr>
        <w:numPr>
          <w:ilvl w:val="0"/>
          <w:numId w:val="15"/>
        </w:numPr>
        <w:overflowPunct w:val="0"/>
        <w:autoSpaceDE w:val="0"/>
        <w:autoSpaceDN w:val="0"/>
        <w:adjustRightInd w:val="0"/>
        <w:spacing w:after="60"/>
      </w:pPr>
      <w:bookmarkStart w:id="6" w:name="_Ref525936700"/>
      <w:r w:rsidRPr="00B30F45">
        <w:t>R2-1714289, “</w:t>
      </w:r>
      <w:r w:rsidRPr="00B30F45">
        <w:rPr>
          <w:noProof/>
        </w:rPr>
        <w:t>Running CR for euCA Stage-2”</w:t>
      </w:r>
      <w:bookmarkEnd w:id="6"/>
    </w:p>
    <w:p w:rsidR="007F4A3E" w:rsidRDefault="007F4A3E" w:rsidP="007F4A3E">
      <w:pPr>
        <w:numPr>
          <w:ilvl w:val="0"/>
          <w:numId w:val="15"/>
        </w:numPr>
        <w:overflowPunct w:val="0"/>
        <w:autoSpaceDE w:val="0"/>
        <w:autoSpaceDN w:val="0"/>
        <w:adjustRightInd w:val="0"/>
        <w:spacing w:after="0"/>
      </w:pPr>
      <w:r>
        <w:t>R1-1902251</w:t>
      </w:r>
      <w:r w:rsidRPr="00B30F45">
        <w:t>, “</w:t>
      </w:r>
      <w:r w:rsidRPr="007F4A3E">
        <w:t>Cross-carrier Scheduling with Different Numerologies</w:t>
      </w:r>
      <w:r>
        <w:t>”, Samsung</w:t>
      </w:r>
    </w:p>
    <w:p w:rsidR="0078416C" w:rsidRPr="00AA284D" w:rsidRDefault="0078416C" w:rsidP="0078416C">
      <w:pPr>
        <w:widowControl w:val="0"/>
        <w:spacing w:after="60"/>
        <w:jc w:val="both"/>
        <w:rPr>
          <w:rFonts w:eastAsia="SimSun"/>
          <w:lang w:eastAsia="zh-CN"/>
        </w:rPr>
      </w:pPr>
    </w:p>
    <w:p w:rsidR="00006FFB" w:rsidRPr="008470A5" w:rsidRDefault="00006FFB" w:rsidP="008470A5">
      <w:pPr>
        <w:spacing w:after="0"/>
        <w:rPr>
          <w:rFonts w:eastAsia="Times New Roman" w:cs="Arial"/>
        </w:rPr>
      </w:pPr>
    </w:p>
    <w:sectPr w:rsidR="00006FFB" w:rsidRPr="008470A5"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6942" w:rsidRPr="00C47AD2" w:rsidRDefault="00566942">
      <w:pPr>
        <w:rPr>
          <w:rFonts w:ascii="Arial" w:hAnsi="Arial"/>
          <w:sz w:val="12"/>
        </w:rPr>
      </w:pPr>
      <w:r>
        <w:separator/>
      </w:r>
    </w:p>
  </w:endnote>
  <w:endnote w:type="continuationSeparator" w:id="0">
    <w:p w:rsidR="00566942" w:rsidRPr="00C47AD2" w:rsidRDefault="00566942">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Dotum">
    <w:altName w:val="Malgun Gothic"/>
    <w:panose1 w:val="020B0600000101010101"/>
    <w:charset w:val="81"/>
    <w:family w:val="moder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Malgun Gothic Semilight"/>
    <w:panose1 w:val="020B0600000101010101"/>
    <w:charset w:val="81"/>
    <w:family w:val="roman"/>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5E693B"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end"/>
    </w:r>
  </w:p>
  <w:p w:rsidR="00F62347" w:rsidRDefault="00F6234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5E693B"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separate"/>
    </w:r>
    <w:r w:rsidR="00402056">
      <w:rPr>
        <w:rStyle w:val="PageNumber"/>
      </w:rPr>
      <w:t>2</w:t>
    </w:r>
    <w:r>
      <w:rPr>
        <w:rStyle w:val="PageNumber"/>
      </w:rPr>
      <w:fldChar w:fldCharType="end"/>
    </w:r>
  </w:p>
  <w:p w:rsidR="00F62347" w:rsidRDefault="00F6234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6942" w:rsidRPr="00C47AD2" w:rsidRDefault="00566942">
      <w:pPr>
        <w:rPr>
          <w:rFonts w:ascii="Arial" w:hAnsi="Arial"/>
          <w:sz w:val="12"/>
        </w:rPr>
      </w:pPr>
      <w:r>
        <w:separator/>
      </w:r>
    </w:p>
  </w:footnote>
  <w:footnote w:type="continuationSeparator" w:id="0">
    <w:p w:rsidR="00566942" w:rsidRPr="00C47AD2" w:rsidRDefault="00566942">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F62347">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ADE110A"/>
    <w:multiLevelType w:val="hybridMultilevel"/>
    <w:tmpl w:val="9EEC5BFA"/>
    <w:lvl w:ilvl="0" w:tplc="E7E85254">
      <w:start w:val="1"/>
      <w:numFmt w:val="decimal"/>
      <w:lvlText w:val="%1)"/>
      <w:lvlJc w:val="left"/>
      <w:pPr>
        <w:tabs>
          <w:tab w:val="num" w:pos="720"/>
        </w:tabs>
        <w:ind w:left="720" w:hanging="360"/>
      </w:pPr>
    </w:lvl>
    <w:lvl w:ilvl="1" w:tplc="F1665DF4" w:tentative="1">
      <w:start w:val="1"/>
      <w:numFmt w:val="decimal"/>
      <w:lvlText w:val="%2)"/>
      <w:lvlJc w:val="left"/>
      <w:pPr>
        <w:tabs>
          <w:tab w:val="num" w:pos="1440"/>
        </w:tabs>
        <w:ind w:left="1440" w:hanging="360"/>
      </w:pPr>
    </w:lvl>
    <w:lvl w:ilvl="2" w:tplc="C5FE185C" w:tentative="1">
      <w:start w:val="1"/>
      <w:numFmt w:val="decimal"/>
      <w:lvlText w:val="%3)"/>
      <w:lvlJc w:val="left"/>
      <w:pPr>
        <w:tabs>
          <w:tab w:val="num" w:pos="2160"/>
        </w:tabs>
        <w:ind w:left="2160" w:hanging="360"/>
      </w:pPr>
    </w:lvl>
    <w:lvl w:ilvl="3" w:tplc="D1901CE8" w:tentative="1">
      <w:start w:val="1"/>
      <w:numFmt w:val="decimal"/>
      <w:lvlText w:val="%4)"/>
      <w:lvlJc w:val="left"/>
      <w:pPr>
        <w:tabs>
          <w:tab w:val="num" w:pos="2880"/>
        </w:tabs>
        <w:ind w:left="2880" w:hanging="360"/>
      </w:pPr>
    </w:lvl>
    <w:lvl w:ilvl="4" w:tplc="669E226C" w:tentative="1">
      <w:start w:val="1"/>
      <w:numFmt w:val="decimal"/>
      <w:lvlText w:val="%5)"/>
      <w:lvlJc w:val="left"/>
      <w:pPr>
        <w:tabs>
          <w:tab w:val="num" w:pos="3600"/>
        </w:tabs>
        <w:ind w:left="3600" w:hanging="360"/>
      </w:pPr>
    </w:lvl>
    <w:lvl w:ilvl="5" w:tplc="DC6489F2" w:tentative="1">
      <w:start w:val="1"/>
      <w:numFmt w:val="decimal"/>
      <w:lvlText w:val="%6)"/>
      <w:lvlJc w:val="left"/>
      <w:pPr>
        <w:tabs>
          <w:tab w:val="num" w:pos="4320"/>
        </w:tabs>
        <w:ind w:left="4320" w:hanging="360"/>
      </w:pPr>
    </w:lvl>
    <w:lvl w:ilvl="6" w:tplc="893E9F6A" w:tentative="1">
      <w:start w:val="1"/>
      <w:numFmt w:val="decimal"/>
      <w:lvlText w:val="%7)"/>
      <w:lvlJc w:val="left"/>
      <w:pPr>
        <w:tabs>
          <w:tab w:val="num" w:pos="5040"/>
        </w:tabs>
        <w:ind w:left="5040" w:hanging="360"/>
      </w:pPr>
    </w:lvl>
    <w:lvl w:ilvl="7" w:tplc="47E44D84" w:tentative="1">
      <w:start w:val="1"/>
      <w:numFmt w:val="decimal"/>
      <w:lvlText w:val="%8)"/>
      <w:lvlJc w:val="left"/>
      <w:pPr>
        <w:tabs>
          <w:tab w:val="num" w:pos="5760"/>
        </w:tabs>
        <w:ind w:left="5760" w:hanging="360"/>
      </w:pPr>
    </w:lvl>
    <w:lvl w:ilvl="8" w:tplc="355C8FB8" w:tentative="1">
      <w:start w:val="1"/>
      <w:numFmt w:val="decimal"/>
      <w:lvlText w:val="%9)"/>
      <w:lvlJc w:val="left"/>
      <w:pPr>
        <w:tabs>
          <w:tab w:val="num" w:pos="6480"/>
        </w:tabs>
        <w:ind w:left="6480" w:hanging="360"/>
      </w:pPr>
    </w:lvl>
  </w:abstractNum>
  <w:abstractNum w:abstractNumId="4" w15:restartNumberingAfterBreak="0">
    <w:nsid w:val="0B0B4F5D"/>
    <w:multiLevelType w:val="hybridMultilevel"/>
    <w:tmpl w:val="E56611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454FCD"/>
    <w:multiLevelType w:val="hybridMultilevel"/>
    <w:tmpl w:val="41F81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F16D4F"/>
    <w:multiLevelType w:val="hybridMultilevel"/>
    <w:tmpl w:val="F34E7C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4E541C"/>
    <w:multiLevelType w:val="hybridMultilevel"/>
    <w:tmpl w:val="5D981C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3B364A0C"/>
    <w:multiLevelType w:val="hybridMultilevel"/>
    <w:tmpl w:val="0A049C4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CE24F13"/>
    <w:multiLevelType w:val="hybridMultilevel"/>
    <w:tmpl w:val="ADF64DC8"/>
    <w:lvl w:ilvl="0" w:tplc="3FA4E298">
      <w:start w:val="1"/>
      <w:numFmt w:val="decimal"/>
      <w:lvlText w:val="%1)"/>
      <w:lvlJc w:val="left"/>
      <w:pPr>
        <w:tabs>
          <w:tab w:val="num" w:pos="720"/>
        </w:tabs>
        <w:ind w:left="720" w:hanging="360"/>
      </w:pPr>
    </w:lvl>
    <w:lvl w:ilvl="1" w:tplc="A00C613E" w:tentative="1">
      <w:start w:val="1"/>
      <w:numFmt w:val="decimal"/>
      <w:lvlText w:val="%2)"/>
      <w:lvlJc w:val="left"/>
      <w:pPr>
        <w:tabs>
          <w:tab w:val="num" w:pos="1440"/>
        </w:tabs>
        <w:ind w:left="1440" w:hanging="360"/>
      </w:pPr>
    </w:lvl>
    <w:lvl w:ilvl="2" w:tplc="0EB22DC2" w:tentative="1">
      <w:start w:val="1"/>
      <w:numFmt w:val="decimal"/>
      <w:lvlText w:val="%3)"/>
      <w:lvlJc w:val="left"/>
      <w:pPr>
        <w:tabs>
          <w:tab w:val="num" w:pos="2160"/>
        </w:tabs>
        <w:ind w:left="2160" w:hanging="360"/>
      </w:pPr>
    </w:lvl>
    <w:lvl w:ilvl="3" w:tplc="BFACC036" w:tentative="1">
      <w:start w:val="1"/>
      <w:numFmt w:val="decimal"/>
      <w:lvlText w:val="%4)"/>
      <w:lvlJc w:val="left"/>
      <w:pPr>
        <w:tabs>
          <w:tab w:val="num" w:pos="2880"/>
        </w:tabs>
        <w:ind w:left="2880" w:hanging="360"/>
      </w:pPr>
    </w:lvl>
    <w:lvl w:ilvl="4" w:tplc="6FEE706E" w:tentative="1">
      <w:start w:val="1"/>
      <w:numFmt w:val="decimal"/>
      <w:lvlText w:val="%5)"/>
      <w:lvlJc w:val="left"/>
      <w:pPr>
        <w:tabs>
          <w:tab w:val="num" w:pos="3600"/>
        </w:tabs>
        <w:ind w:left="3600" w:hanging="360"/>
      </w:pPr>
    </w:lvl>
    <w:lvl w:ilvl="5" w:tplc="A5AE8FA2" w:tentative="1">
      <w:start w:val="1"/>
      <w:numFmt w:val="decimal"/>
      <w:lvlText w:val="%6)"/>
      <w:lvlJc w:val="left"/>
      <w:pPr>
        <w:tabs>
          <w:tab w:val="num" w:pos="4320"/>
        </w:tabs>
        <w:ind w:left="4320" w:hanging="360"/>
      </w:pPr>
    </w:lvl>
    <w:lvl w:ilvl="6" w:tplc="C2BAE858" w:tentative="1">
      <w:start w:val="1"/>
      <w:numFmt w:val="decimal"/>
      <w:lvlText w:val="%7)"/>
      <w:lvlJc w:val="left"/>
      <w:pPr>
        <w:tabs>
          <w:tab w:val="num" w:pos="5040"/>
        </w:tabs>
        <w:ind w:left="5040" w:hanging="360"/>
      </w:pPr>
    </w:lvl>
    <w:lvl w:ilvl="7" w:tplc="138A1A82" w:tentative="1">
      <w:start w:val="1"/>
      <w:numFmt w:val="decimal"/>
      <w:lvlText w:val="%8)"/>
      <w:lvlJc w:val="left"/>
      <w:pPr>
        <w:tabs>
          <w:tab w:val="num" w:pos="5760"/>
        </w:tabs>
        <w:ind w:left="5760" w:hanging="360"/>
      </w:pPr>
    </w:lvl>
    <w:lvl w:ilvl="8" w:tplc="6E4E161A" w:tentative="1">
      <w:start w:val="1"/>
      <w:numFmt w:val="decimal"/>
      <w:lvlText w:val="%9)"/>
      <w:lvlJc w:val="left"/>
      <w:pPr>
        <w:tabs>
          <w:tab w:val="num" w:pos="6480"/>
        </w:tabs>
        <w:ind w:left="6480" w:hanging="360"/>
      </w:pPr>
    </w:lvl>
  </w:abstractNum>
  <w:abstractNum w:abstractNumId="17" w15:restartNumberingAfterBreak="0">
    <w:nsid w:val="4E957F14"/>
    <w:multiLevelType w:val="hybridMultilevel"/>
    <w:tmpl w:val="D1F096A8"/>
    <w:lvl w:ilvl="0" w:tplc="B652E6F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DC2193"/>
    <w:multiLevelType w:val="hybridMultilevel"/>
    <w:tmpl w:val="70F86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0" w15:restartNumberingAfterBreak="0">
    <w:nsid w:val="5A6C1C13"/>
    <w:multiLevelType w:val="hybridMultilevel"/>
    <w:tmpl w:val="1F9060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EE258D"/>
    <w:multiLevelType w:val="hybridMultilevel"/>
    <w:tmpl w:val="B998B06E"/>
    <w:lvl w:ilvl="0" w:tplc="D724FB66">
      <w:start w:val="1"/>
      <w:numFmt w:val="decimal"/>
      <w:lvlText w:val="%1)"/>
      <w:lvlJc w:val="left"/>
      <w:pPr>
        <w:tabs>
          <w:tab w:val="num" w:pos="720"/>
        </w:tabs>
        <w:ind w:left="720" w:hanging="360"/>
      </w:pPr>
    </w:lvl>
    <w:lvl w:ilvl="1" w:tplc="35D461E8" w:tentative="1">
      <w:start w:val="1"/>
      <w:numFmt w:val="decimal"/>
      <w:lvlText w:val="%2)"/>
      <w:lvlJc w:val="left"/>
      <w:pPr>
        <w:tabs>
          <w:tab w:val="num" w:pos="1440"/>
        </w:tabs>
        <w:ind w:left="1440" w:hanging="360"/>
      </w:pPr>
    </w:lvl>
    <w:lvl w:ilvl="2" w:tplc="7AC41D98" w:tentative="1">
      <w:start w:val="1"/>
      <w:numFmt w:val="decimal"/>
      <w:lvlText w:val="%3)"/>
      <w:lvlJc w:val="left"/>
      <w:pPr>
        <w:tabs>
          <w:tab w:val="num" w:pos="2160"/>
        </w:tabs>
        <w:ind w:left="2160" w:hanging="360"/>
      </w:pPr>
    </w:lvl>
    <w:lvl w:ilvl="3" w:tplc="B10C85F2" w:tentative="1">
      <w:start w:val="1"/>
      <w:numFmt w:val="decimal"/>
      <w:lvlText w:val="%4)"/>
      <w:lvlJc w:val="left"/>
      <w:pPr>
        <w:tabs>
          <w:tab w:val="num" w:pos="2880"/>
        </w:tabs>
        <w:ind w:left="2880" w:hanging="360"/>
      </w:pPr>
    </w:lvl>
    <w:lvl w:ilvl="4" w:tplc="F4BA1FF2" w:tentative="1">
      <w:start w:val="1"/>
      <w:numFmt w:val="decimal"/>
      <w:lvlText w:val="%5)"/>
      <w:lvlJc w:val="left"/>
      <w:pPr>
        <w:tabs>
          <w:tab w:val="num" w:pos="3600"/>
        </w:tabs>
        <w:ind w:left="3600" w:hanging="360"/>
      </w:pPr>
    </w:lvl>
    <w:lvl w:ilvl="5" w:tplc="EAE60238" w:tentative="1">
      <w:start w:val="1"/>
      <w:numFmt w:val="decimal"/>
      <w:lvlText w:val="%6)"/>
      <w:lvlJc w:val="left"/>
      <w:pPr>
        <w:tabs>
          <w:tab w:val="num" w:pos="4320"/>
        </w:tabs>
        <w:ind w:left="4320" w:hanging="360"/>
      </w:pPr>
    </w:lvl>
    <w:lvl w:ilvl="6" w:tplc="A002006E" w:tentative="1">
      <w:start w:val="1"/>
      <w:numFmt w:val="decimal"/>
      <w:lvlText w:val="%7)"/>
      <w:lvlJc w:val="left"/>
      <w:pPr>
        <w:tabs>
          <w:tab w:val="num" w:pos="5040"/>
        </w:tabs>
        <w:ind w:left="5040" w:hanging="360"/>
      </w:pPr>
    </w:lvl>
    <w:lvl w:ilvl="7" w:tplc="BFE8C2BE" w:tentative="1">
      <w:start w:val="1"/>
      <w:numFmt w:val="decimal"/>
      <w:lvlText w:val="%8)"/>
      <w:lvlJc w:val="left"/>
      <w:pPr>
        <w:tabs>
          <w:tab w:val="num" w:pos="5760"/>
        </w:tabs>
        <w:ind w:left="5760" w:hanging="360"/>
      </w:pPr>
    </w:lvl>
    <w:lvl w:ilvl="8" w:tplc="75607178" w:tentative="1">
      <w:start w:val="1"/>
      <w:numFmt w:val="decimal"/>
      <w:lvlText w:val="%9)"/>
      <w:lvlJc w:val="left"/>
      <w:pPr>
        <w:tabs>
          <w:tab w:val="num" w:pos="6480"/>
        </w:tabs>
        <w:ind w:left="6480" w:hanging="360"/>
      </w:pPr>
    </w:lvl>
  </w:abstractNum>
  <w:abstractNum w:abstractNumId="22" w15:restartNumberingAfterBreak="0">
    <w:nsid w:val="638F38C6"/>
    <w:multiLevelType w:val="hybridMultilevel"/>
    <w:tmpl w:val="A33CE526"/>
    <w:lvl w:ilvl="0" w:tplc="B652E6F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E767D9"/>
    <w:multiLevelType w:val="hybridMultilevel"/>
    <w:tmpl w:val="77DA6B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825940"/>
    <w:multiLevelType w:val="hybridMultilevel"/>
    <w:tmpl w:val="E326D0F8"/>
    <w:lvl w:ilvl="0" w:tplc="EFFE7C04">
      <w:start w:val="1"/>
      <w:numFmt w:val="bullet"/>
      <w:lvlText w:val="•"/>
      <w:lvlJc w:val="left"/>
      <w:pPr>
        <w:ind w:left="746" w:hanging="360"/>
      </w:pPr>
      <w:rPr>
        <w:rFonts w:ascii="Batang" w:eastAsia="Batang" w:hAnsi="Batang" w:hint="eastAsia"/>
      </w:rPr>
    </w:lvl>
    <w:lvl w:ilvl="1" w:tplc="32F67CC6">
      <w:start w:val="1"/>
      <w:numFmt w:val="bullet"/>
      <w:lvlText w:val="–"/>
      <w:lvlJc w:val="left"/>
      <w:pPr>
        <w:ind w:left="1186" w:hanging="400"/>
      </w:pPr>
      <w:rPr>
        <w:rFonts w:ascii="Malgun Gothic" w:eastAsia="Malgun Gothic" w:hAnsi="Malgun Gothic" w:hint="eastAsia"/>
      </w:rPr>
    </w:lvl>
    <w:lvl w:ilvl="2" w:tplc="61C43392">
      <w:start w:val="1"/>
      <w:numFmt w:val="bullet"/>
      <w:lvlText w:val="▫"/>
      <w:lvlJc w:val="left"/>
      <w:pPr>
        <w:ind w:left="1586" w:hanging="400"/>
      </w:pPr>
      <w:rPr>
        <w:rFonts w:ascii="Calibri" w:hAnsi="Calibri" w:hint="default"/>
      </w:rPr>
    </w:lvl>
    <w:lvl w:ilvl="3" w:tplc="04090001" w:tentative="1">
      <w:start w:val="1"/>
      <w:numFmt w:val="bullet"/>
      <w:lvlText w:val=""/>
      <w:lvlJc w:val="left"/>
      <w:pPr>
        <w:ind w:left="1986" w:hanging="400"/>
      </w:pPr>
      <w:rPr>
        <w:rFonts w:ascii="Wingdings" w:hAnsi="Wingdings" w:hint="default"/>
      </w:rPr>
    </w:lvl>
    <w:lvl w:ilvl="4" w:tplc="04090003" w:tentative="1">
      <w:start w:val="1"/>
      <w:numFmt w:val="bullet"/>
      <w:lvlText w:val=""/>
      <w:lvlJc w:val="left"/>
      <w:pPr>
        <w:ind w:left="2386" w:hanging="400"/>
      </w:pPr>
      <w:rPr>
        <w:rFonts w:ascii="Wingdings" w:hAnsi="Wingdings" w:hint="default"/>
      </w:rPr>
    </w:lvl>
    <w:lvl w:ilvl="5" w:tplc="04090005" w:tentative="1">
      <w:start w:val="1"/>
      <w:numFmt w:val="bullet"/>
      <w:lvlText w:val=""/>
      <w:lvlJc w:val="left"/>
      <w:pPr>
        <w:ind w:left="2786" w:hanging="400"/>
      </w:pPr>
      <w:rPr>
        <w:rFonts w:ascii="Wingdings" w:hAnsi="Wingdings" w:hint="default"/>
      </w:rPr>
    </w:lvl>
    <w:lvl w:ilvl="6" w:tplc="04090001" w:tentative="1">
      <w:start w:val="1"/>
      <w:numFmt w:val="bullet"/>
      <w:lvlText w:val=""/>
      <w:lvlJc w:val="left"/>
      <w:pPr>
        <w:ind w:left="3186" w:hanging="400"/>
      </w:pPr>
      <w:rPr>
        <w:rFonts w:ascii="Wingdings" w:hAnsi="Wingdings" w:hint="default"/>
      </w:rPr>
    </w:lvl>
    <w:lvl w:ilvl="7" w:tplc="04090003" w:tentative="1">
      <w:start w:val="1"/>
      <w:numFmt w:val="bullet"/>
      <w:lvlText w:val=""/>
      <w:lvlJc w:val="left"/>
      <w:pPr>
        <w:ind w:left="3586" w:hanging="400"/>
      </w:pPr>
      <w:rPr>
        <w:rFonts w:ascii="Wingdings" w:hAnsi="Wingdings" w:hint="default"/>
      </w:rPr>
    </w:lvl>
    <w:lvl w:ilvl="8" w:tplc="04090005" w:tentative="1">
      <w:start w:val="1"/>
      <w:numFmt w:val="bullet"/>
      <w:lvlText w:val=""/>
      <w:lvlJc w:val="left"/>
      <w:pPr>
        <w:ind w:left="3986" w:hanging="40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10"/>
  </w:num>
  <w:num w:numId="5">
    <w:abstractNumId w:val="14"/>
  </w:num>
  <w:num w:numId="6">
    <w:abstractNumId w:val="29"/>
  </w:num>
  <w:num w:numId="7">
    <w:abstractNumId w:val="15"/>
  </w:num>
  <w:num w:numId="8">
    <w:abstractNumId w:val="13"/>
  </w:num>
  <w:num w:numId="9">
    <w:abstractNumId w:val="26"/>
  </w:num>
  <w:num w:numId="10">
    <w:abstractNumId w:val="5"/>
  </w:num>
  <w:num w:numId="11">
    <w:abstractNumId w:val="6"/>
  </w:num>
  <w:num w:numId="12">
    <w:abstractNumId w:val="2"/>
  </w:num>
  <w:num w:numId="13">
    <w:abstractNumId w:val="28"/>
  </w:num>
  <w:num w:numId="14">
    <w:abstractNumId w:val="19"/>
  </w:num>
  <w:num w:numId="15">
    <w:abstractNumId w:val="27"/>
  </w:num>
  <w:num w:numId="16">
    <w:abstractNumId w:val="4"/>
  </w:num>
  <w:num w:numId="17">
    <w:abstractNumId w:val="3"/>
  </w:num>
  <w:num w:numId="18">
    <w:abstractNumId w:val="16"/>
  </w:num>
  <w:num w:numId="19">
    <w:abstractNumId w:val="21"/>
  </w:num>
  <w:num w:numId="20">
    <w:abstractNumId w:val="20"/>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17"/>
  </w:num>
  <w:num w:numId="40">
    <w:abstractNumId w:val="22"/>
  </w:num>
  <w:num w:numId="41">
    <w:abstractNumId w:val="7"/>
  </w:num>
  <w:num w:numId="42">
    <w:abstractNumId w:val="7"/>
  </w:num>
  <w:num w:numId="43">
    <w:abstractNumId w:val="18"/>
  </w:num>
  <w:num w:numId="44">
    <w:abstractNumId w:val="9"/>
  </w:num>
  <w:num w:numId="45">
    <w:abstractNumId w:val="24"/>
  </w:num>
  <w:num w:numId="46">
    <w:abstractNumId w:val="23"/>
  </w:num>
  <w:num w:numId="47">
    <w:abstractNumId w:val="8"/>
  </w:num>
  <w:num w:numId="48">
    <w:abstractNumId w:val="12"/>
  </w:num>
  <w:num w:numId="49">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BA6"/>
    <w:rsid w:val="00002DD1"/>
    <w:rsid w:val="0000305E"/>
    <w:rsid w:val="00003174"/>
    <w:rsid w:val="00003480"/>
    <w:rsid w:val="000034FC"/>
    <w:rsid w:val="0000356F"/>
    <w:rsid w:val="000036B4"/>
    <w:rsid w:val="00003864"/>
    <w:rsid w:val="0000387F"/>
    <w:rsid w:val="000043DF"/>
    <w:rsid w:val="0000494D"/>
    <w:rsid w:val="00004A64"/>
    <w:rsid w:val="00004B6E"/>
    <w:rsid w:val="00004EBA"/>
    <w:rsid w:val="00005524"/>
    <w:rsid w:val="000061A8"/>
    <w:rsid w:val="000065AE"/>
    <w:rsid w:val="00006C3A"/>
    <w:rsid w:val="00006E41"/>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18D"/>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994"/>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0F8C"/>
    <w:rsid w:val="00081042"/>
    <w:rsid w:val="00082034"/>
    <w:rsid w:val="000820E9"/>
    <w:rsid w:val="000822F9"/>
    <w:rsid w:val="000832F9"/>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22D7"/>
    <w:rsid w:val="000922E0"/>
    <w:rsid w:val="0009282E"/>
    <w:rsid w:val="00092F5D"/>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A8D"/>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771"/>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3F0D"/>
    <w:rsid w:val="0012413F"/>
    <w:rsid w:val="00124312"/>
    <w:rsid w:val="001254E2"/>
    <w:rsid w:val="00125836"/>
    <w:rsid w:val="001260CF"/>
    <w:rsid w:val="0012627E"/>
    <w:rsid w:val="0012629F"/>
    <w:rsid w:val="001265D8"/>
    <w:rsid w:val="00126E51"/>
    <w:rsid w:val="001275A7"/>
    <w:rsid w:val="00127898"/>
    <w:rsid w:val="00127B25"/>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E3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734"/>
    <w:rsid w:val="0014487A"/>
    <w:rsid w:val="00144A43"/>
    <w:rsid w:val="00144A59"/>
    <w:rsid w:val="00145067"/>
    <w:rsid w:val="001457AD"/>
    <w:rsid w:val="00145C19"/>
    <w:rsid w:val="00145DB2"/>
    <w:rsid w:val="00145E83"/>
    <w:rsid w:val="0014634C"/>
    <w:rsid w:val="0014675F"/>
    <w:rsid w:val="0014681D"/>
    <w:rsid w:val="00146BCA"/>
    <w:rsid w:val="00146D5B"/>
    <w:rsid w:val="0014700F"/>
    <w:rsid w:val="001472F2"/>
    <w:rsid w:val="00147D46"/>
    <w:rsid w:val="001503A1"/>
    <w:rsid w:val="0015048A"/>
    <w:rsid w:val="001506E6"/>
    <w:rsid w:val="00150F34"/>
    <w:rsid w:val="00151326"/>
    <w:rsid w:val="00151868"/>
    <w:rsid w:val="00151FDC"/>
    <w:rsid w:val="0015203D"/>
    <w:rsid w:val="0015205A"/>
    <w:rsid w:val="00152088"/>
    <w:rsid w:val="001521F3"/>
    <w:rsid w:val="00152725"/>
    <w:rsid w:val="00152ABA"/>
    <w:rsid w:val="00152DD8"/>
    <w:rsid w:val="0015347F"/>
    <w:rsid w:val="00153D56"/>
    <w:rsid w:val="00153ED5"/>
    <w:rsid w:val="001544C1"/>
    <w:rsid w:val="00154581"/>
    <w:rsid w:val="0015472E"/>
    <w:rsid w:val="00155077"/>
    <w:rsid w:val="00155A6E"/>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494D"/>
    <w:rsid w:val="00164B32"/>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DAA"/>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5F5"/>
    <w:rsid w:val="0019487D"/>
    <w:rsid w:val="001948C4"/>
    <w:rsid w:val="00194D55"/>
    <w:rsid w:val="00194E3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92C"/>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90C"/>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DB1"/>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122"/>
    <w:rsid w:val="00226257"/>
    <w:rsid w:val="0022641F"/>
    <w:rsid w:val="00226652"/>
    <w:rsid w:val="002267D9"/>
    <w:rsid w:val="00226B90"/>
    <w:rsid w:val="00226C10"/>
    <w:rsid w:val="002270DA"/>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3440"/>
    <w:rsid w:val="00243564"/>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0A"/>
    <w:rsid w:val="00271C63"/>
    <w:rsid w:val="00271EBC"/>
    <w:rsid w:val="00272316"/>
    <w:rsid w:val="00272595"/>
    <w:rsid w:val="00272804"/>
    <w:rsid w:val="00272907"/>
    <w:rsid w:val="00272CD2"/>
    <w:rsid w:val="00272D4B"/>
    <w:rsid w:val="00272D5E"/>
    <w:rsid w:val="00273103"/>
    <w:rsid w:val="0027385C"/>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237"/>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333E"/>
    <w:rsid w:val="002D3C1E"/>
    <w:rsid w:val="002D3DB8"/>
    <w:rsid w:val="002D40BF"/>
    <w:rsid w:val="002D4218"/>
    <w:rsid w:val="002D4AC0"/>
    <w:rsid w:val="002D4BAB"/>
    <w:rsid w:val="002D4FDA"/>
    <w:rsid w:val="002D55EC"/>
    <w:rsid w:val="002D5883"/>
    <w:rsid w:val="002D5C4C"/>
    <w:rsid w:val="002D6277"/>
    <w:rsid w:val="002D62F5"/>
    <w:rsid w:val="002D6723"/>
    <w:rsid w:val="002D6840"/>
    <w:rsid w:val="002D6C58"/>
    <w:rsid w:val="002D6FDE"/>
    <w:rsid w:val="002D723D"/>
    <w:rsid w:val="002D7401"/>
    <w:rsid w:val="002D7C68"/>
    <w:rsid w:val="002D7E4F"/>
    <w:rsid w:val="002E097F"/>
    <w:rsid w:val="002E0B6F"/>
    <w:rsid w:val="002E2045"/>
    <w:rsid w:val="002E227C"/>
    <w:rsid w:val="002E2576"/>
    <w:rsid w:val="002E272A"/>
    <w:rsid w:val="002E27B7"/>
    <w:rsid w:val="002E2808"/>
    <w:rsid w:val="002E2AAD"/>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C3C"/>
    <w:rsid w:val="00301D39"/>
    <w:rsid w:val="003027E3"/>
    <w:rsid w:val="003033DB"/>
    <w:rsid w:val="00303789"/>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1E35"/>
    <w:rsid w:val="003124EF"/>
    <w:rsid w:val="003125E4"/>
    <w:rsid w:val="00312A5B"/>
    <w:rsid w:val="00312ED7"/>
    <w:rsid w:val="00313383"/>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8B9"/>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69"/>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3A0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36F"/>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978"/>
    <w:rsid w:val="00356A84"/>
    <w:rsid w:val="00356F24"/>
    <w:rsid w:val="003571E7"/>
    <w:rsid w:val="0035726B"/>
    <w:rsid w:val="0035764C"/>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377"/>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448"/>
    <w:rsid w:val="0038251F"/>
    <w:rsid w:val="00382542"/>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8F3"/>
    <w:rsid w:val="003A195D"/>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CAD"/>
    <w:rsid w:val="003A7779"/>
    <w:rsid w:val="003A78E2"/>
    <w:rsid w:val="003A78F5"/>
    <w:rsid w:val="003B05D7"/>
    <w:rsid w:val="003B0862"/>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5DC9"/>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0C0"/>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5F6"/>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3F7B12"/>
    <w:rsid w:val="0040049C"/>
    <w:rsid w:val="00400AF6"/>
    <w:rsid w:val="00400B8D"/>
    <w:rsid w:val="00400C7A"/>
    <w:rsid w:val="00401071"/>
    <w:rsid w:val="004012F3"/>
    <w:rsid w:val="00401B02"/>
    <w:rsid w:val="00401BAF"/>
    <w:rsid w:val="00401D11"/>
    <w:rsid w:val="00401E3F"/>
    <w:rsid w:val="00402056"/>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97E"/>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588"/>
    <w:rsid w:val="00442731"/>
    <w:rsid w:val="00442A9A"/>
    <w:rsid w:val="00442E03"/>
    <w:rsid w:val="00442F69"/>
    <w:rsid w:val="004431BD"/>
    <w:rsid w:val="004432B8"/>
    <w:rsid w:val="0044370F"/>
    <w:rsid w:val="0044374E"/>
    <w:rsid w:val="004437C6"/>
    <w:rsid w:val="004439D5"/>
    <w:rsid w:val="004441A9"/>
    <w:rsid w:val="004450AA"/>
    <w:rsid w:val="00445508"/>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57FF0"/>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A25"/>
    <w:rsid w:val="00464026"/>
    <w:rsid w:val="00464031"/>
    <w:rsid w:val="00464260"/>
    <w:rsid w:val="004648F3"/>
    <w:rsid w:val="00464A45"/>
    <w:rsid w:val="00464CC3"/>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0FF"/>
    <w:rsid w:val="004829D6"/>
    <w:rsid w:val="004829E0"/>
    <w:rsid w:val="00482C78"/>
    <w:rsid w:val="0048323E"/>
    <w:rsid w:val="0048361C"/>
    <w:rsid w:val="0048378A"/>
    <w:rsid w:val="004837BA"/>
    <w:rsid w:val="00483941"/>
    <w:rsid w:val="00483B81"/>
    <w:rsid w:val="00483D76"/>
    <w:rsid w:val="00483EB7"/>
    <w:rsid w:val="00483F7B"/>
    <w:rsid w:val="0048435A"/>
    <w:rsid w:val="00484A1F"/>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6D2"/>
    <w:rsid w:val="00493000"/>
    <w:rsid w:val="0049307B"/>
    <w:rsid w:val="00493950"/>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83B"/>
    <w:rsid w:val="004B288C"/>
    <w:rsid w:val="004B2CDD"/>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4E94"/>
    <w:rsid w:val="004C5094"/>
    <w:rsid w:val="004C50E2"/>
    <w:rsid w:val="004C5447"/>
    <w:rsid w:val="004C54AB"/>
    <w:rsid w:val="004C5BC9"/>
    <w:rsid w:val="004C6667"/>
    <w:rsid w:val="004C66C9"/>
    <w:rsid w:val="004C6868"/>
    <w:rsid w:val="004C7065"/>
    <w:rsid w:val="004C7D6B"/>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9C8"/>
    <w:rsid w:val="004F7AA0"/>
    <w:rsid w:val="004F7B68"/>
    <w:rsid w:val="004F7C86"/>
    <w:rsid w:val="00500BB8"/>
    <w:rsid w:val="00500C0D"/>
    <w:rsid w:val="0050103B"/>
    <w:rsid w:val="00501185"/>
    <w:rsid w:val="0050130B"/>
    <w:rsid w:val="00501365"/>
    <w:rsid w:val="00501374"/>
    <w:rsid w:val="005013B7"/>
    <w:rsid w:val="00501595"/>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17E77"/>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DEB"/>
    <w:rsid w:val="00565F86"/>
    <w:rsid w:val="00566100"/>
    <w:rsid w:val="0056622E"/>
    <w:rsid w:val="00566733"/>
    <w:rsid w:val="00566942"/>
    <w:rsid w:val="00566B4A"/>
    <w:rsid w:val="00566F46"/>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1C63"/>
    <w:rsid w:val="0058258B"/>
    <w:rsid w:val="0058347A"/>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34F6"/>
    <w:rsid w:val="005C3702"/>
    <w:rsid w:val="005C3829"/>
    <w:rsid w:val="005C4220"/>
    <w:rsid w:val="005C4469"/>
    <w:rsid w:val="005C4718"/>
    <w:rsid w:val="005C5393"/>
    <w:rsid w:val="005C59D3"/>
    <w:rsid w:val="005C5EF0"/>
    <w:rsid w:val="005C6374"/>
    <w:rsid w:val="005C653F"/>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B98"/>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954"/>
    <w:rsid w:val="005E5CC5"/>
    <w:rsid w:val="005E63D6"/>
    <w:rsid w:val="005E6624"/>
    <w:rsid w:val="005E6698"/>
    <w:rsid w:val="005E693B"/>
    <w:rsid w:val="005E6CB6"/>
    <w:rsid w:val="005E6F6B"/>
    <w:rsid w:val="005E76F0"/>
    <w:rsid w:val="005E7F2B"/>
    <w:rsid w:val="005F0092"/>
    <w:rsid w:val="005F02C3"/>
    <w:rsid w:val="005F042E"/>
    <w:rsid w:val="005F0546"/>
    <w:rsid w:val="005F073C"/>
    <w:rsid w:val="005F088A"/>
    <w:rsid w:val="005F090F"/>
    <w:rsid w:val="005F0D49"/>
    <w:rsid w:val="005F0E86"/>
    <w:rsid w:val="005F0F19"/>
    <w:rsid w:val="005F1283"/>
    <w:rsid w:val="005F136E"/>
    <w:rsid w:val="005F15BA"/>
    <w:rsid w:val="005F16A8"/>
    <w:rsid w:val="005F1E98"/>
    <w:rsid w:val="005F290B"/>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C2F"/>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E54"/>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C2D"/>
    <w:rsid w:val="00672D3E"/>
    <w:rsid w:val="00672F43"/>
    <w:rsid w:val="006739FC"/>
    <w:rsid w:val="0067425F"/>
    <w:rsid w:val="00674569"/>
    <w:rsid w:val="00674D66"/>
    <w:rsid w:val="006751CA"/>
    <w:rsid w:val="006753F7"/>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CF5"/>
    <w:rsid w:val="00682024"/>
    <w:rsid w:val="00682056"/>
    <w:rsid w:val="006820C9"/>
    <w:rsid w:val="0068222E"/>
    <w:rsid w:val="00682C2A"/>
    <w:rsid w:val="00683168"/>
    <w:rsid w:val="006831BC"/>
    <w:rsid w:val="0068387D"/>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054"/>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5C98"/>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D6C"/>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2B3"/>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403"/>
    <w:rsid w:val="006C048D"/>
    <w:rsid w:val="006C0787"/>
    <w:rsid w:val="006C0C30"/>
    <w:rsid w:val="006C0CC0"/>
    <w:rsid w:val="006C0D2F"/>
    <w:rsid w:val="006C1431"/>
    <w:rsid w:val="006C14BB"/>
    <w:rsid w:val="006C1E58"/>
    <w:rsid w:val="006C26EC"/>
    <w:rsid w:val="006C2A65"/>
    <w:rsid w:val="006C2A88"/>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0B32"/>
    <w:rsid w:val="006D157A"/>
    <w:rsid w:val="006D192F"/>
    <w:rsid w:val="006D1D12"/>
    <w:rsid w:val="006D202F"/>
    <w:rsid w:val="006D28D3"/>
    <w:rsid w:val="006D2ABB"/>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5E2"/>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90C"/>
    <w:rsid w:val="007367B7"/>
    <w:rsid w:val="007368F8"/>
    <w:rsid w:val="007369E0"/>
    <w:rsid w:val="00736D6B"/>
    <w:rsid w:val="00737047"/>
    <w:rsid w:val="0073706E"/>
    <w:rsid w:val="00737436"/>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BAA"/>
    <w:rsid w:val="00747D90"/>
    <w:rsid w:val="0075032C"/>
    <w:rsid w:val="00750A3A"/>
    <w:rsid w:val="00750A5B"/>
    <w:rsid w:val="00750AF1"/>
    <w:rsid w:val="00750CC5"/>
    <w:rsid w:val="00750FCC"/>
    <w:rsid w:val="007510ED"/>
    <w:rsid w:val="0075133E"/>
    <w:rsid w:val="0075152D"/>
    <w:rsid w:val="00751A54"/>
    <w:rsid w:val="00751A64"/>
    <w:rsid w:val="0075204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813"/>
    <w:rsid w:val="00781C28"/>
    <w:rsid w:val="00781C5B"/>
    <w:rsid w:val="00781E0A"/>
    <w:rsid w:val="00781E0E"/>
    <w:rsid w:val="00782A2D"/>
    <w:rsid w:val="00782F14"/>
    <w:rsid w:val="00783262"/>
    <w:rsid w:val="007832ED"/>
    <w:rsid w:val="00783497"/>
    <w:rsid w:val="0078351B"/>
    <w:rsid w:val="007837E4"/>
    <w:rsid w:val="00783C35"/>
    <w:rsid w:val="0078416C"/>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6D58"/>
    <w:rsid w:val="0078769C"/>
    <w:rsid w:val="00787A37"/>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39D"/>
    <w:rsid w:val="007A6583"/>
    <w:rsid w:val="007A6603"/>
    <w:rsid w:val="007A6E11"/>
    <w:rsid w:val="007A77F7"/>
    <w:rsid w:val="007A792B"/>
    <w:rsid w:val="007A7960"/>
    <w:rsid w:val="007A7B5A"/>
    <w:rsid w:val="007B012D"/>
    <w:rsid w:val="007B015E"/>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ABE"/>
    <w:rsid w:val="007C20AC"/>
    <w:rsid w:val="007C23C9"/>
    <w:rsid w:val="007C247D"/>
    <w:rsid w:val="007C28D5"/>
    <w:rsid w:val="007C2A6F"/>
    <w:rsid w:val="007C30C5"/>
    <w:rsid w:val="007C3568"/>
    <w:rsid w:val="007C35A9"/>
    <w:rsid w:val="007C3F28"/>
    <w:rsid w:val="007C41E6"/>
    <w:rsid w:val="007C42B3"/>
    <w:rsid w:val="007C4E9C"/>
    <w:rsid w:val="007C50C0"/>
    <w:rsid w:val="007C5609"/>
    <w:rsid w:val="007C5AD6"/>
    <w:rsid w:val="007C5EBD"/>
    <w:rsid w:val="007C5FE0"/>
    <w:rsid w:val="007C6198"/>
    <w:rsid w:val="007C6732"/>
    <w:rsid w:val="007C68A8"/>
    <w:rsid w:val="007C6D77"/>
    <w:rsid w:val="007C7033"/>
    <w:rsid w:val="007C75C9"/>
    <w:rsid w:val="007C772C"/>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2FA"/>
    <w:rsid w:val="007F3B81"/>
    <w:rsid w:val="007F3BBC"/>
    <w:rsid w:val="007F3C37"/>
    <w:rsid w:val="007F3E4E"/>
    <w:rsid w:val="007F3FF8"/>
    <w:rsid w:val="007F456F"/>
    <w:rsid w:val="007F4A3E"/>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1EEC"/>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41B5"/>
    <w:rsid w:val="00814A86"/>
    <w:rsid w:val="00815284"/>
    <w:rsid w:val="008152E9"/>
    <w:rsid w:val="0081536A"/>
    <w:rsid w:val="008154C7"/>
    <w:rsid w:val="008155A9"/>
    <w:rsid w:val="00815CE1"/>
    <w:rsid w:val="00815D98"/>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CD5"/>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C05"/>
    <w:rsid w:val="00844583"/>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3"/>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4A"/>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7103"/>
    <w:rsid w:val="00887DAE"/>
    <w:rsid w:val="0089019C"/>
    <w:rsid w:val="008901D6"/>
    <w:rsid w:val="00890403"/>
    <w:rsid w:val="00890D88"/>
    <w:rsid w:val="00890DF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2EC"/>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2AF"/>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59A"/>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32"/>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41"/>
    <w:rsid w:val="009211A0"/>
    <w:rsid w:val="00921780"/>
    <w:rsid w:val="0092188D"/>
    <w:rsid w:val="00921F34"/>
    <w:rsid w:val="00921F92"/>
    <w:rsid w:val="00922180"/>
    <w:rsid w:val="0092243D"/>
    <w:rsid w:val="0092256D"/>
    <w:rsid w:val="0092258C"/>
    <w:rsid w:val="00922AB5"/>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1BF"/>
    <w:rsid w:val="00932A10"/>
    <w:rsid w:val="00932A8D"/>
    <w:rsid w:val="00933096"/>
    <w:rsid w:val="009332E7"/>
    <w:rsid w:val="0093340D"/>
    <w:rsid w:val="00933588"/>
    <w:rsid w:val="0093439F"/>
    <w:rsid w:val="00934590"/>
    <w:rsid w:val="00934E8F"/>
    <w:rsid w:val="00935131"/>
    <w:rsid w:val="00935521"/>
    <w:rsid w:val="009358EE"/>
    <w:rsid w:val="00935DC5"/>
    <w:rsid w:val="00935E91"/>
    <w:rsid w:val="009360A8"/>
    <w:rsid w:val="0093613A"/>
    <w:rsid w:val="0093633E"/>
    <w:rsid w:val="009368A2"/>
    <w:rsid w:val="0093710D"/>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5E27"/>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3FF"/>
    <w:rsid w:val="009617B0"/>
    <w:rsid w:val="009618F7"/>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2DB"/>
    <w:rsid w:val="0096545E"/>
    <w:rsid w:val="00965614"/>
    <w:rsid w:val="0096598A"/>
    <w:rsid w:val="00965A1A"/>
    <w:rsid w:val="00965D8B"/>
    <w:rsid w:val="00966040"/>
    <w:rsid w:val="0096621A"/>
    <w:rsid w:val="00966805"/>
    <w:rsid w:val="0096694C"/>
    <w:rsid w:val="00966D4E"/>
    <w:rsid w:val="009670D0"/>
    <w:rsid w:val="0096725F"/>
    <w:rsid w:val="00967763"/>
    <w:rsid w:val="00967C7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4A09"/>
    <w:rsid w:val="00994E57"/>
    <w:rsid w:val="00994EFF"/>
    <w:rsid w:val="00994FD4"/>
    <w:rsid w:val="009950BF"/>
    <w:rsid w:val="0099521D"/>
    <w:rsid w:val="0099532E"/>
    <w:rsid w:val="009954DE"/>
    <w:rsid w:val="0099579D"/>
    <w:rsid w:val="00995986"/>
    <w:rsid w:val="00995CBE"/>
    <w:rsid w:val="00996DE2"/>
    <w:rsid w:val="00996FE8"/>
    <w:rsid w:val="009970ED"/>
    <w:rsid w:val="009975BE"/>
    <w:rsid w:val="0099784F"/>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F004D"/>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8EF"/>
    <w:rsid w:val="00A03A78"/>
    <w:rsid w:val="00A040FE"/>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407A"/>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54B"/>
    <w:rsid w:val="00A365A2"/>
    <w:rsid w:val="00A36606"/>
    <w:rsid w:val="00A36B66"/>
    <w:rsid w:val="00A36C0D"/>
    <w:rsid w:val="00A375F2"/>
    <w:rsid w:val="00A37668"/>
    <w:rsid w:val="00A37838"/>
    <w:rsid w:val="00A3791E"/>
    <w:rsid w:val="00A37FD3"/>
    <w:rsid w:val="00A40162"/>
    <w:rsid w:val="00A40302"/>
    <w:rsid w:val="00A4056C"/>
    <w:rsid w:val="00A406A2"/>
    <w:rsid w:val="00A40F9E"/>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AD1"/>
    <w:rsid w:val="00A50C0A"/>
    <w:rsid w:val="00A5107D"/>
    <w:rsid w:val="00A5143A"/>
    <w:rsid w:val="00A51495"/>
    <w:rsid w:val="00A514C1"/>
    <w:rsid w:val="00A51681"/>
    <w:rsid w:val="00A5186D"/>
    <w:rsid w:val="00A51B02"/>
    <w:rsid w:val="00A51C67"/>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FC4"/>
    <w:rsid w:val="00A67176"/>
    <w:rsid w:val="00A672E1"/>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D7A"/>
    <w:rsid w:val="00A73EAF"/>
    <w:rsid w:val="00A73FCE"/>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646"/>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84D"/>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E18"/>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2A6C"/>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E01"/>
    <w:rsid w:val="00AE5F53"/>
    <w:rsid w:val="00AE628C"/>
    <w:rsid w:val="00AE6519"/>
    <w:rsid w:val="00AE65D1"/>
    <w:rsid w:val="00AE660C"/>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334"/>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8C"/>
    <w:rsid w:val="00B05FCB"/>
    <w:rsid w:val="00B06346"/>
    <w:rsid w:val="00B063A4"/>
    <w:rsid w:val="00B066BC"/>
    <w:rsid w:val="00B0703A"/>
    <w:rsid w:val="00B07089"/>
    <w:rsid w:val="00B07241"/>
    <w:rsid w:val="00B0761C"/>
    <w:rsid w:val="00B07706"/>
    <w:rsid w:val="00B07743"/>
    <w:rsid w:val="00B07755"/>
    <w:rsid w:val="00B07CE5"/>
    <w:rsid w:val="00B10037"/>
    <w:rsid w:val="00B103DA"/>
    <w:rsid w:val="00B10B4D"/>
    <w:rsid w:val="00B11078"/>
    <w:rsid w:val="00B111D2"/>
    <w:rsid w:val="00B11242"/>
    <w:rsid w:val="00B112C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F4D"/>
    <w:rsid w:val="00B2133C"/>
    <w:rsid w:val="00B2152A"/>
    <w:rsid w:val="00B21F6E"/>
    <w:rsid w:val="00B226F0"/>
    <w:rsid w:val="00B22BBB"/>
    <w:rsid w:val="00B22DC2"/>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C56"/>
    <w:rsid w:val="00B41DC8"/>
    <w:rsid w:val="00B425AF"/>
    <w:rsid w:val="00B426F4"/>
    <w:rsid w:val="00B42C85"/>
    <w:rsid w:val="00B43186"/>
    <w:rsid w:val="00B4337C"/>
    <w:rsid w:val="00B43956"/>
    <w:rsid w:val="00B43D0A"/>
    <w:rsid w:val="00B44194"/>
    <w:rsid w:val="00B44674"/>
    <w:rsid w:val="00B4498E"/>
    <w:rsid w:val="00B451D6"/>
    <w:rsid w:val="00B4529C"/>
    <w:rsid w:val="00B452FB"/>
    <w:rsid w:val="00B4577B"/>
    <w:rsid w:val="00B45B8A"/>
    <w:rsid w:val="00B45EF6"/>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65B"/>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855"/>
    <w:rsid w:val="00BA192E"/>
    <w:rsid w:val="00BA1D66"/>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B7E9C"/>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1F7"/>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667"/>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0C6"/>
    <w:rsid w:val="00C27495"/>
    <w:rsid w:val="00C275CF"/>
    <w:rsid w:val="00C277D5"/>
    <w:rsid w:val="00C278B5"/>
    <w:rsid w:val="00C27A90"/>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5C"/>
    <w:rsid w:val="00C41EA5"/>
    <w:rsid w:val="00C422DD"/>
    <w:rsid w:val="00C426A1"/>
    <w:rsid w:val="00C42A40"/>
    <w:rsid w:val="00C42E30"/>
    <w:rsid w:val="00C43031"/>
    <w:rsid w:val="00C4329C"/>
    <w:rsid w:val="00C43863"/>
    <w:rsid w:val="00C43899"/>
    <w:rsid w:val="00C43958"/>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3B1"/>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0D23"/>
    <w:rsid w:val="00C8172A"/>
    <w:rsid w:val="00C81897"/>
    <w:rsid w:val="00C81E9D"/>
    <w:rsid w:val="00C82395"/>
    <w:rsid w:val="00C82535"/>
    <w:rsid w:val="00C825E1"/>
    <w:rsid w:val="00C828AD"/>
    <w:rsid w:val="00C82FA4"/>
    <w:rsid w:val="00C82FF9"/>
    <w:rsid w:val="00C83DB0"/>
    <w:rsid w:val="00C83DB7"/>
    <w:rsid w:val="00C84189"/>
    <w:rsid w:val="00C842E0"/>
    <w:rsid w:val="00C84B50"/>
    <w:rsid w:val="00C851A1"/>
    <w:rsid w:val="00C85823"/>
    <w:rsid w:val="00C858AA"/>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0E47"/>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47E"/>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E7E34"/>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3A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C99"/>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75C"/>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28EA"/>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131"/>
    <w:rsid w:val="00D968B1"/>
    <w:rsid w:val="00D96951"/>
    <w:rsid w:val="00D9703C"/>
    <w:rsid w:val="00D9704E"/>
    <w:rsid w:val="00D9792C"/>
    <w:rsid w:val="00D97961"/>
    <w:rsid w:val="00D979F6"/>
    <w:rsid w:val="00D97BEF"/>
    <w:rsid w:val="00D97C2E"/>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9B"/>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C14"/>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31"/>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9B2"/>
    <w:rsid w:val="00E14D07"/>
    <w:rsid w:val="00E15036"/>
    <w:rsid w:val="00E1547B"/>
    <w:rsid w:val="00E156AC"/>
    <w:rsid w:val="00E15759"/>
    <w:rsid w:val="00E1618F"/>
    <w:rsid w:val="00E164A0"/>
    <w:rsid w:val="00E16D18"/>
    <w:rsid w:val="00E16E72"/>
    <w:rsid w:val="00E1723A"/>
    <w:rsid w:val="00E17BD4"/>
    <w:rsid w:val="00E17CEB"/>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6ED2"/>
    <w:rsid w:val="00E275A0"/>
    <w:rsid w:val="00E27B59"/>
    <w:rsid w:val="00E27CA8"/>
    <w:rsid w:val="00E30396"/>
    <w:rsid w:val="00E309E9"/>
    <w:rsid w:val="00E30C38"/>
    <w:rsid w:val="00E30CFE"/>
    <w:rsid w:val="00E30D93"/>
    <w:rsid w:val="00E31270"/>
    <w:rsid w:val="00E31850"/>
    <w:rsid w:val="00E319B2"/>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30A"/>
    <w:rsid w:val="00E468D1"/>
    <w:rsid w:val="00E46968"/>
    <w:rsid w:val="00E46D5D"/>
    <w:rsid w:val="00E46D81"/>
    <w:rsid w:val="00E4722C"/>
    <w:rsid w:val="00E479B1"/>
    <w:rsid w:val="00E47C5F"/>
    <w:rsid w:val="00E47EBE"/>
    <w:rsid w:val="00E47F0A"/>
    <w:rsid w:val="00E5034B"/>
    <w:rsid w:val="00E50487"/>
    <w:rsid w:val="00E50C45"/>
    <w:rsid w:val="00E50EDE"/>
    <w:rsid w:val="00E511AC"/>
    <w:rsid w:val="00E51759"/>
    <w:rsid w:val="00E51C7A"/>
    <w:rsid w:val="00E51EC9"/>
    <w:rsid w:val="00E51FB4"/>
    <w:rsid w:val="00E520EB"/>
    <w:rsid w:val="00E52225"/>
    <w:rsid w:val="00E5231B"/>
    <w:rsid w:val="00E5254A"/>
    <w:rsid w:val="00E52D7B"/>
    <w:rsid w:val="00E53008"/>
    <w:rsid w:val="00E53145"/>
    <w:rsid w:val="00E5372B"/>
    <w:rsid w:val="00E5385A"/>
    <w:rsid w:val="00E53B62"/>
    <w:rsid w:val="00E54608"/>
    <w:rsid w:val="00E54702"/>
    <w:rsid w:val="00E54A0B"/>
    <w:rsid w:val="00E54E61"/>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041"/>
    <w:rsid w:val="00E6535A"/>
    <w:rsid w:val="00E65920"/>
    <w:rsid w:val="00E65C3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87E79"/>
    <w:rsid w:val="00E90038"/>
    <w:rsid w:val="00E905B3"/>
    <w:rsid w:val="00E90B11"/>
    <w:rsid w:val="00E90D49"/>
    <w:rsid w:val="00E9106E"/>
    <w:rsid w:val="00E91150"/>
    <w:rsid w:val="00E91631"/>
    <w:rsid w:val="00E9179C"/>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572"/>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262"/>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4BE3"/>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995"/>
    <w:rsid w:val="00EE417E"/>
    <w:rsid w:val="00EE4184"/>
    <w:rsid w:val="00EE4752"/>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33D"/>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917"/>
    <w:rsid w:val="00F05955"/>
    <w:rsid w:val="00F05993"/>
    <w:rsid w:val="00F059B2"/>
    <w:rsid w:val="00F05F42"/>
    <w:rsid w:val="00F06ECA"/>
    <w:rsid w:val="00F074ED"/>
    <w:rsid w:val="00F075FF"/>
    <w:rsid w:val="00F076D5"/>
    <w:rsid w:val="00F07B81"/>
    <w:rsid w:val="00F1013C"/>
    <w:rsid w:val="00F10403"/>
    <w:rsid w:val="00F1105A"/>
    <w:rsid w:val="00F11940"/>
    <w:rsid w:val="00F11C82"/>
    <w:rsid w:val="00F11E1E"/>
    <w:rsid w:val="00F11FCF"/>
    <w:rsid w:val="00F12A8A"/>
    <w:rsid w:val="00F13390"/>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370"/>
    <w:rsid w:val="00F254C4"/>
    <w:rsid w:val="00F2559D"/>
    <w:rsid w:val="00F25C53"/>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3F9"/>
    <w:rsid w:val="00F32486"/>
    <w:rsid w:val="00F32B5C"/>
    <w:rsid w:val="00F32E74"/>
    <w:rsid w:val="00F32ECE"/>
    <w:rsid w:val="00F330FF"/>
    <w:rsid w:val="00F33AFB"/>
    <w:rsid w:val="00F3402F"/>
    <w:rsid w:val="00F34104"/>
    <w:rsid w:val="00F3494D"/>
    <w:rsid w:val="00F34EE7"/>
    <w:rsid w:val="00F3515B"/>
    <w:rsid w:val="00F353A5"/>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508"/>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B8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0F"/>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E7A"/>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BE"/>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E8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0D3BC"/>
  <w15:docId w15:val="{4EE20EBD-52BF-4F97-9784-46E7482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B2Char">
    <w:name w:val="B2 Char"/>
    <w:link w:val="B2"/>
    <w:qFormat/>
    <w:rsid w:val="00501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51EE7D-BE5E-459E-981A-52566EC29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2</Pages>
  <Words>783</Words>
  <Characters>4464</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21</cp:revision>
  <cp:lastPrinted>2010-03-24T02:20:00Z</cp:lastPrinted>
  <dcterms:created xsi:type="dcterms:W3CDTF">2019-01-11T19:21:00Z</dcterms:created>
  <dcterms:modified xsi:type="dcterms:W3CDTF">2019-03-28T05:05:00Z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